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证券代码：600630            股票简称：龙头股份                 编号：临2022-0</w:t>
      </w:r>
      <w:r>
        <w:rPr>
          <w:rFonts w:hint="eastAsia"/>
          <w:b/>
        </w:rPr>
        <w:t>12</w:t>
      </w:r>
    </w:p>
    <w:p>
      <w:pPr>
        <w:jc w:val="center"/>
        <w:rPr>
          <w:b/>
          <w:sz w:val="30"/>
        </w:rPr>
      </w:pPr>
    </w:p>
    <w:p>
      <w:pPr>
        <w:jc w:val="center"/>
        <w:rPr>
          <w:rFonts w:ascii="黑体" w:hAnsi="Times New Roman" w:eastAsia="黑体" w:cs="Times New Roman"/>
          <w:b/>
          <w:color w:val="FF0000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color w:val="FF0000"/>
          <w:sz w:val="36"/>
          <w:szCs w:val="36"/>
        </w:rPr>
        <w:t>上海龙头（集团）股份有限公司</w:t>
      </w:r>
      <w:bookmarkStart w:id="0" w:name="_GoBack"/>
      <w:bookmarkEnd w:id="0"/>
    </w:p>
    <w:p>
      <w:pPr>
        <w:jc w:val="center"/>
        <w:rPr>
          <w:rFonts w:ascii="黑体" w:hAnsi="Times New Roman" w:eastAsia="黑体" w:cs="Times New Roman"/>
          <w:b/>
          <w:color w:val="FF0000"/>
          <w:sz w:val="36"/>
          <w:szCs w:val="36"/>
        </w:rPr>
      </w:pPr>
      <w:r>
        <w:rPr>
          <w:rFonts w:ascii="黑体" w:hAnsi="Times New Roman" w:eastAsia="黑体" w:cs="Times New Roman"/>
          <w:b/>
          <w:color w:val="FF0000"/>
          <w:sz w:val="36"/>
          <w:szCs w:val="36"/>
        </w:rPr>
        <w:t>关于20</w:t>
      </w:r>
      <w:r>
        <w:rPr>
          <w:rFonts w:hint="eastAsia" w:ascii="黑体" w:hAnsi="Times New Roman" w:eastAsia="黑体" w:cs="Times New Roman"/>
          <w:b/>
          <w:color w:val="FF0000"/>
          <w:sz w:val="36"/>
          <w:szCs w:val="36"/>
        </w:rPr>
        <w:t>2</w:t>
      </w:r>
      <w:r>
        <w:rPr>
          <w:rFonts w:ascii="黑体" w:hAnsi="Times New Roman" w:eastAsia="黑体" w:cs="Times New Roman"/>
          <w:b/>
          <w:color w:val="FF0000"/>
          <w:sz w:val="36"/>
          <w:szCs w:val="36"/>
        </w:rPr>
        <w:t>2年</w:t>
      </w:r>
      <w:r>
        <w:rPr>
          <w:rFonts w:hint="eastAsia" w:ascii="黑体" w:hAnsi="Times New Roman" w:eastAsia="黑体" w:cs="Times New Roman"/>
          <w:b/>
          <w:color w:val="FF0000"/>
          <w:sz w:val="36"/>
          <w:szCs w:val="36"/>
        </w:rPr>
        <w:t>一季度</w:t>
      </w:r>
      <w:r>
        <w:rPr>
          <w:rFonts w:ascii="黑体" w:hAnsi="Times New Roman" w:eastAsia="黑体" w:cs="Times New Roman"/>
          <w:b/>
          <w:color w:val="FF0000"/>
          <w:sz w:val="36"/>
          <w:szCs w:val="36"/>
        </w:rPr>
        <w:t>主要经营数据的公告</w:t>
      </w:r>
    </w:p>
    <w:p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本公司董事会及全体董事保证本公告内容不存在任何虚假记载、误导性陈述或者重大遗漏，并对其内容的真实性、准确性和完整性承担个别及连带责任。</w:t>
      </w:r>
    </w:p>
    <w:p>
      <w:pPr>
        <w:jc w:val="center"/>
        <w:rPr>
          <w:rFonts w:ascii="Calibri" w:hAnsi="Calibri" w:eastAsia="宋体" w:cs="Times New Roman"/>
          <w:b/>
          <w:bCs/>
          <w:color w:val="000000"/>
          <w:szCs w:val="21"/>
        </w:rPr>
      </w:pPr>
    </w:p>
    <w:p>
      <w:pPr>
        <w:shd w:val="clear" w:color="auto" w:fill="FFFFFF"/>
        <w:spacing w:line="360" w:lineRule="auto"/>
        <w:ind w:firstLine="420" w:firstLineChars="200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color w:val="000000"/>
          <w:szCs w:val="21"/>
        </w:rPr>
        <w:t>根据上海证券交易所《上市公司行业信息披露指引第十二号—服装》、《关于做好上市公司 20</w:t>
      </w:r>
      <w:r>
        <w:rPr>
          <w:rFonts w:hint="eastAsia" w:ascii="Calibri" w:hAnsi="Calibri" w:eastAsia="宋体" w:cs="Times New Roman"/>
          <w:color w:val="000000"/>
          <w:szCs w:val="21"/>
        </w:rPr>
        <w:t>2</w:t>
      </w:r>
      <w:r>
        <w:rPr>
          <w:rFonts w:ascii="Calibri" w:hAnsi="Calibri" w:eastAsia="宋体" w:cs="Times New Roman"/>
          <w:color w:val="000000"/>
          <w:szCs w:val="21"/>
        </w:rPr>
        <w:t>2</w:t>
      </w:r>
      <w:r>
        <w:rPr>
          <w:rFonts w:hint="eastAsia" w:ascii="Calibri" w:hAnsi="Calibri" w:eastAsia="宋体" w:cs="Times New Roman"/>
          <w:color w:val="000000"/>
          <w:szCs w:val="21"/>
        </w:rPr>
        <w:t>年第一季度</w:t>
      </w:r>
      <w:r>
        <w:rPr>
          <w:rFonts w:ascii="Calibri" w:hAnsi="Calibri" w:eastAsia="宋体" w:cs="Times New Roman"/>
          <w:color w:val="000000"/>
          <w:szCs w:val="21"/>
        </w:rPr>
        <w:t>报告披露工作的通知》要求，</w:t>
      </w:r>
      <w:r>
        <w:rPr>
          <w:rFonts w:hint="eastAsia" w:ascii="Calibri" w:hAnsi="Calibri" w:eastAsia="宋体" w:cs="Times New Roman"/>
          <w:color w:val="000000"/>
          <w:szCs w:val="21"/>
        </w:rPr>
        <w:t>上海龙头（集团）</w:t>
      </w:r>
      <w:r>
        <w:rPr>
          <w:rFonts w:ascii="Calibri" w:hAnsi="Calibri" w:eastAsia="宋体" w:cs="Times New Roman"/>
          <w:color w:val="000000"/>
          <w:szCs w:val="21"/>
        </w:rPr>
        <w:t>股份有限公司（以下简称“公司”）现将 20</w:t>
      </w:r>
      <w:r>
        <w:rPr>
          <w:rFonts w:hint="eastAsia" w:ascii="Calibri" w:hAnsi="Calibri" w:eastAsia="宋体" w:cs="Times New Roman"/>
          <w:color w:val="000000"/>
          <w:szCs w:val="21"/>
        </w:rPr>
        <w:t>2</w:t>
      </w:r>
      <w:r>
        <w:rPr>
          <w:rFonts w:ascii="Calibri" w:hAnsi="Calibri" w:eastAsia="宋体" w:cs="Times New Roman"/>
          <w:color w:val="000000"/>
          <w:szCs w:val="21"/>
        </w:rPr>
        <w:t>2年</w:t>
      </w:r>
      <w:r>
        <w:rPr>
          <w:rFonts w:hint="eastAsia" w:ascii="Calibri" w:hAnsi="Calibri" w:eastAsia="宋体" w:cs="Times New Roman"/>
          <w:color w:val="000000"/>
          <w:szCs w:val="21"/>
        </w:rPr>
        <w:t>一季度</w:t>
      </w:r>
      <w:r>
        <w:rPr>
          <w:rFonts w:ascii="Calibri" w:hAnsi="Calibri" w:eastAsia="宋体" w:cs="Times New Roman"/>
          <w:color w:val="000000"/>
          <w:szCs w:val="21"/>
        </w:rPr>
        <w:t>主要经营数据(未经审计)披露如下：</w:t>
      </w:r>
    </w:p>
    <w:p>
      <w:pPr>
        <w:shd w:val="clear" w:color="auto" w:fill="FFFFFF"/>
        <w:spacing w:line="360" w:lineRule="auto"/>
        <w:ind w:firstLine="420" w:firstLineChars="200"/>
        <w:rPr>
          <w:rFonts w:ascii="微软雅黑" w:hAnsi="微软雅黑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color w:val="000000"/>
          <w:szCs w:val="21"/>
        </w:rPr>
        <w:t>报告期，公司依据“针织品”、“家用纺织品”、“服装服饰”进行品牌分类统计，同一商品大类无法细分(本</w:t>
      </w:r>
      <w:r>
        <w:rPr>
          <w:rFonts w:hint="eastAsia" w:ascii="Calibri" w:hAnsi="Calibri" w:eastAsia="宋体" w:cs="Times New Roman"/>
          <w:color w:val="000000"/>
          <w:szCs w:val="21"/>
        </w:rPr>
        <w:t>公告</w:t>
      </w:r>
      <w:r>
        <w:rPr>
          <w:rFonts w:ascii="Calibri" w:hAnsi="Calibri" w:eastAsia="宋体" w:cs="Times New Roman"/>
          <w:color w:val="000000"/>
          <w:szCs w:val="21"/>
        </w:rPr>
        <w:t>牵涉内容统计口径相同，以下不再重复)，具体情况如下：</w:t>
      </w:r>
    </w:p>
    <w:p>
      <w:pPr>
        <w:pStyle w:val="6"/>
        <w:numPr>
          <w:ilvl w:val="1"/>
          <w:numId w:val="1"/>
        </w:numPr>
        <w:spacing w:line="360" w:lineRule="auto"/>
        <w:ind w:left="839" w:hanging="839" w:firstLineChars="0"/>
      </w:pPr>
      <w:r>
        <w:rPr>
          <w:rFonts w:hint="eastAsia"/>
        </w:rPr>
        <w:t>报告期内实体门店情况</w:t>
      </w:r>
    </w:p>
    <w:tbl>
      <w:tblPr>
        <w:tblW w:w="88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420"/>
        <w:gridCol w:w="1418"/>
        <w:gridCol w:w="1560"/>
        <w:gridCol w:w="1561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品牌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门店类型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2021</w:t>
            </w:r>
            <w:r>
              <w:rPr>
                <w:rFonts w:hint="eastAsia" w:ascii="Calibri" w:hAnsi="Calibri" w:eastAsia="宋体" w:cs="Times New Roman"/>
                <w:szCs w:val="21"/>
              </w:rPr>
              <w:t>年末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数量（家）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报告期末数量（家）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报告期内新开（家）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报告期内关闭（家）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品牌集合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专卖店</w:t>
            </w:r>
            <w:r>
              <w:rPr>
                <w:rFonts w:ascii="Calibri" w:hAnsi="Calibri" w:eastAsia="宋体" w:cs="Times New Roman"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,402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,282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品牌集合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加盟店</w:t>
            </w:r>
            <w:r>
              <w:rPr>
                <w:rFonts w:ascii="Calibri" w:hAnsi="Calibri" w:eastAsia="宋体" w:cs="Times New Roman"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,265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,202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80</w:t>
            </w:r>
          </w:p>
        </w:tc>
      </w:tr>
    </w:tbl>
    <w:p>
      <w:pPr>
        <w:spacing w:line="360" w:lineRule="auto"/>
      </w:pPr>
    </w:p>
    <w:tbl>
      <w:tblPr>
        <w:tblW w:w="12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02"/>
        <w:gridCol w:w="1559"/>
        <w:gridCol w:w="1419"/>
        <w:gridCol w:w="1429"/>
        <w:gridCol w:w="1732"/>
        <w:gridCol w:w="1628"/>
        <w:gridCol w:w="3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525" w:hRule="atLeast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品牌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门店类型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2021</w:t>
            </w:r>
            <w:r>
              <w:rPr>
                <w:rFonts w:hint="eastAsia" w:ascii="Calibri" w:hAnsi="Calibri" w:eastAsia="宋体" w:cs="Times New Roman"/>
                <w:szCs w:val="21"/>
              </w:rPr>
              <w:t>年末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数量（家）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报告期末数量（家）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报告期内新开（家）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报告期内关闭（家）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针织品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专卖店/柜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,326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,207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加盟店/柜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8</w:t>
            </w:r>
            <w:r>
              <w:rPr>
                <w:rFonts w:ascii="Calibri" w:hAnsi="Calibri" w:eastAsia="宋体" w:cs="宋体"/>
                <w:szCs w:val="21"/>
              </w:rPr>
              <w:t>09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8</w:t>
            </w:r>
            <w:r>
              <w:rPr>
                <w:rFonts w:ascii="Calibri" w:hAnsi="Calibri" w:eastAsia="宋体" w:cs="宋体"/>
                <w:szCs w:val="21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5</w:t>
            </w:r>
            <w:r>
              <w:rPr>
                <w:rFonts w:ascii="Calibri" w:hAnsi="Calibri" w:eastAsia="宋体" w:cs="宋体"/>
                <w:szCs w:val="21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2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针织品小计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</w:t>
            </w:r>
            <w:r>
              <w:rPr>
                <w:rFonts w:ascii="Calibri" w:hAnsi="Calibri" w:eastAsia="宋体" w:cs="宋体"/>
                <w:szCs w:val="21"/>
              </w:rPr>
              <w:t>,135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</w:t>
            </w:r>
            <w:r>
              <w:rPr>
                <w:rFonts w:ascii="Calibri" w:hAnsi="Calibri" w:eastAsia="宋体" w:cs="宋体"/>
                <w:szCs w:val="21"/>
              </w:rPr>
              <w:t>,073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78</w:t>
            </w:r>
          </w:p>
        </w:tc>
        <w:tc>
          <w:tcPr>
            <w:tcW w:w="3139" w:type="dxa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1F497D"/>
                <w:szCs w:val="21"/>
              </w:rPr>
            </w:pPr>
            <w:r>
              <w:rPr>
                <w:rFonts w:ascii="Calibri" w:hAnsi="Calibri"/>
                <w:color w:val="1F497D"/>
                <w:szCs w:val="21"/>
              </w:rPr>
              <w:t xml:space="preserve">608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服装服饰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专卖店/柜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加盟店/柜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2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服装服饰小计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139" w:type="dxa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家纺织品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专卖店/柜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139" w:type="dxa"/>
          <w:trHeight w:val="402" w:hRule="atLeast"/>
        </w:trPr>
        <w:tc>
          <w:tcPr>
            <w:tcW w:w="11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　加盟店/柜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2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家纺织品小计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139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 xml:space="preserve">9 </w:t>
            </w:r>
          </w:p>
        </w:tc>
      </w:tr>
    </w:tbl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2、</w:t>
      </w:r>
      <w:r>
        <w:rPr>
          <w:rFonts w:ascii="Calibri" w:hAnsi="Calibri" w:eastAsia="宋体" w:cs="Times New Roman"/>
        </w:rPr>
        <w:t>报告期内各品牌的盈利情况</w:t>
      </w:r>
    </w:p>
    <w:tbl>
      <w:tblPr>
        <w:tblW w:w="10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96"/>
        <w:gridCol w:w="1351"/>
        <w:gridCol w:w="1130"/>
        <w:gridCol w:w="1130"/>
        <w:gridCol w:w="1130"/>
        <w:gridCol w:w="1243"/>
        <w:gridCol w:w="1195"/>
        <w:gridCol w:w="1126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54" w:type="dxa"/>
          <w:trHeight w:val="499" w:hRule="atLeast"/>
        </w:trPr>
        <w:tc>
          <w:tcPr>
            <w:tcW w:w="890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  币种：人民币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54" w:type="dxa"/>
          <w:trHeight w:val="765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毛利率比上年增减（%）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1154" w:type="dxa"/>
          <w:trHeight w:val="499" w:hRule="atLeast"/>
        </w:trPr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24,629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11,036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55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-12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9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54" w:type="dxa"/>
          <w:trHeight w:val="499" w:hRule="atLeast"/>
        </w:trPr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1,973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1,594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19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15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31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1154" w:type="dxa"/>
          <w:trHeight w:val="499" w:hRule="atLeast"/>
        </w:trPr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3,739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3,324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11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29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38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30,341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15,954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47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-7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16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-10 </w:t>
            </w:r>
          </w:p>
        </w:tc>
        <w:tc>
          <w:tcPr>
            <w:tcW w:w="115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54" w:type="dxa"/>
          <w:trHeight w:val="499" w:hRule="atLeast"/>
        </w:trPr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906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631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30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-5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154" w:type="dxa"/>
          <w:trHeight w:val="499" w:hRule="atLeast"/>
        </w:trPr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55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51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7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283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372 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682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-1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-4</w:t>
            </w:r>
          </w:p>
        </w:tc>
        <w:tc>
          <w:tcPr>
            <w:tcW w:w="115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360" w:lineRule="auto"/>
        <w:rPr>
          <w:rFonts w:ascii="Calibri" w:hAnsi="Calibri" w:eastAsia="宋体" w:cs="Times New Roman"/>
          <w:szCs w:val="21"/>
        </w:rPr>
      </w:pP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3、报告期内直营店和加盟店的盈利情况</w:t>
      </w:r>
    </w:p>
    <w:p>
      <w:pPr>
        <w:spacing w:line="360" w:lineRule="auto"/>
        <w:ind w:firstLine="6300" w:firstLineChars="30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单位：万元 币种：人民币</w:t>
      </w:r>
    </w:p>
    <w:tbl>
      <w:tblPr>
        <w:tblW w:w="8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93"/>
        <w:gridCol w:w="1351"/>
        <w:gridCol w:w="1200"/>
        <w:gridCol w:w="1170"/>
        <w:gridCol w:w="1278"/>
        <w:gridCol w:w="1276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分门店类型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毛利率比上年增减（%）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9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直营店</w:t>
            </w:r>
          </w:p>
        </w:tc>
        <w:tc>
          <w:tcPr>
            <w:tcW w:w="1351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20,856 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8,842 </w:t>
            </w:r>
          </w:p>
        </w:tc>
        <w:tc>
          <w:tcPr>
            <w:tcW w:w="11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58 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33 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54 </w:t>
            </w:r>
          </w:p>
        </w:tc>
        <w:tc>
          <w:tcPr>
            <w:tcW w:w="109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加盟店</w:t>
            </w:r>
          </w:p>
        </w:tc>
        <w:tc>
          <w:tcPr>
            <w:tcW w:w="1351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5,339 </w:t>
            </w:r>
          </w:p>
        </w:tc>
        <w:tc>
          <w:tcPr>
            <w:tcW w:w="12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3,211 </w:t>
            </w:r>
          </w:p>
        </w:tc>
        <w:tc>
          <w:tcPr>
            <w:tcW w:w="11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40 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179 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220 </w:t>
            </w:r>
          </w:p>
        </w:tc>
        <w:tc>
          <w:tcPr>
            <w:tcW w:w="109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-8 </w:t>
            </w:r>
          </w:p>
        </w:tc>
      </w:tr>
    </w:tbl>
    <w:p>
      <w:pPr>
        <w:spacing w:line="360" w:lineRule="auto"/>
        <w:rPr>
          <w:rFonts w:ascii="Calibri" w:hAnsi="Calibri" w:eastAsia="宋体" w:cs="Times New Roman"/>
          <w:szCs w:val="21"/>
        </w:rPr>
      </w:pP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4、报告期内线上、线下销售渠道的盈利情况</w:t>
      </w:r>
    </w:p>
    <w:p>
      <w:pPr>
        <w:spacing w:line="360" w:lineRule="auto"/>
        <w:ind w:firstLine="6300" w:firstLineChars="30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单位：万元币种：人民币</w:t>
      </w:r>
    </w:p>
    <w:tbl>
      <w:tblPr>
        <w:tblW w:w="8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6"/>
        <w:gridCol w:w="1328"/>
        <w:gridCol w:w="1414"/>
        <w:gridCol w:w="1131"/>
        <w:gridCol w:w="1273"/>
        <w:gridCol w:w="133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2022年第一季度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2021年第一季度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毛利率（%）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1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1328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11,207 </w:t>
            </w:r>
          </w:p>
        </w:tc>
        <w:tc>
          <w:tcPr>
            <w:tcW w:w="141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36 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51 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10,378 </w:t>
            </w:r>
          </w:p>
        </w:tc>
        <w:tc>
          <w:tcPr>
            <w:tcW w:w="1338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31 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1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线下销售</w:t>
            </w:r>
          </w:p>
        </w:tc>
        <w:tc>
          <w:tcPr>
            <w:tcW w:w="1328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20,095 </w:t>
            </w:r>
          </w:p>
        </w:tc>
        <w:tc>
          <w:tcPr>
            <w:tcW w:w="141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64 </w:t>
            </w:r>
          </w:p>
        </w:tc>
        <w:tc>
          <w:tcPr>
            <w:tcW w:w="1131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45 </w:t>
            </w:r>
          </w:p>
        </w:tc>
        <w:tc>
          <w:tcPr>
            <w:tcW w:w="1273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23,211 </w:t>
            </w:r>
          </w:p>
        </w:tc>
        <w:tc>
          <w:tcPr>
            <w:tcW w:w="1338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69 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59 </w:t>
            </w:r>
          </w:p>
        </w:tc>
      </w:tr>
    </w:tbl>
    <w:p>
      <w:pPr>
        <w:widowControl/>
        <w:jc w:val="left"/>
        <w:rPr>
          <w:rFonts w:ascii="Calibri" w:hAnsi="Calibri" w:eastAsia="宋体" w:cs="Times New Roman"/>
          <w:szCs w:val="21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pStyle w:val="4"/>
        <w:spacing w:line="300" w:lineRule="atLeast"/>
        <w:rPr>
          <w:rFonts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 xml:space="preserve">特此公告。 </w:t>
      </w:r>
    </w:p>
    <w:p>
      <w:pPr>
        <w:pStyle w:val="4"/>
        <w:spacing w:line="360" w:lineRule="auto"/>
        <w:jc w:val="right"/>
        <w:rPr>
          <w:rFonts w:cs="Times New Roman"/>
          <w:kern w:val="2"/>
          <w:szCs w:val="22"/>
        </w:rPr>
      </w:pPr>
    </w:p>
    <w:p>
      <w:pPr>
        <w:pStyle w:val="4"/>
        <w:spacing w:line="360" w:lineRule="auto"/>
        <w:jc w:val="right"/>
        <w:rPr>
          <w:rFonts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 xml:space="preserve">上海龙头(集团)股份有限公司 </w:t>
      </w:r>
    </w:p>
    <w:p>
      <w:pPr>
        <w:pStyle w:val="4"/>
        <w:spacing w:line="360" w:lineRule="auto"/>
        <w:jc w:val="right"/>
        <w:rPr>
          <w:rFonts w:hint="eastAsia" w:ascii="ˎ̥" w:hAnsi="ˎ̥"/>
          <w:color w:val="333333"/>
          <w:sz w:val="18"/>
          <w:szCs w:val="18"/>
        </w:rPr>
      </w:pPr>
      <w:r>
        <w:rPr>
          <w:rFonts w:hint="eastAsia" w:cs="Times New Roman"/>
          <w:kern w:val="2"/>
          <w:szCs w:val="22"/>
        </w:rPr>
        <w:t>202</w:t>
      </w:r>
      <w:r>
        <w:rPr>
          <w:rFonts w:cs="Times New Roman"/>
          <w:kern w:val="2"/>
          <w:szCs w:val="22"/>
        </w:rPr>
        <w:t>2</w:t>
      </w:r>
      <w:r>
        <w:rPr>
          <w:rFonts w:hint="eastAsia" w:cs="Times New Roman"/>
          <w:kern w:val="2"/>
          <w:szCs w:val="22"/>
        </w:rPr>
        <w:t>年</w:t>
      </w:r>
      <w:r>
        <w:rPr>
          <w:rFonts w:cs="Times New Roman"/>
          <w:kern w:val="2"/>
          <w:szCs w:val="22"/>
        </w:rPr>
        <w:t>4</w:t>
      </w:r>
      <w:r>
        <w:rPr>
          <w:rFonts w:hint="eastAsia" w:cs="Times New Roman"/>
          <w:kern w:val="2"/>
          <w:szCs w:val="22"/>
        </w:rPr>
        <w:t>月2</w:t>
      </w:r>
      <w:r>
        <w:rPr>
          <w:rFonts w:cs="Times New Roman"/>
          <w:kern w:val="2"/>
          <w:szCs w:val="22"/>
        </w:rPr>
        <w:t>8</w:t>
      </w:r>
      <w:r>
        <w:rPr>
          <w:rFonts w:hint="eastAsia" w:cs="Times New Roman"/>
          <w:kern w:val="2"/>
          <w:szCs w:val="22"/>
        </w:rPr>
        <w:t>日</w:t>
      </w:r>
    </w:p>
    <w:p/>
    <w:sectPr>
      <w:footerReference r:id="rId4" w:type="default"/>
      <w:pgSz w:w="12240" w:h="15840"/>
      <w:pgMar w:top="1134" w:right="1797" w:bottom="1134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79213406">
    <w:nsid w:val="169A565E"/>
    <w:multiLevelType w:val="multilevel"/>
    <w:tmpl w:val="169A565E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 w:ascii="宋体" w:hAnsi="宋体" w:eastAsia="宋体"/>
        <w:b/>
      </w:rPr>
    </w:lvl>
    <w:lvl w:ilvl="1" w:tentative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792134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1557</Characters>
  <Lines>12</Lines>
  <Paragraphs>3</Paragraphs>
  <TotalTime>0</TotalTime>
  <ScaleCrop>false</ScaleCrop>
  <LinksUpToDate>false</LinksUpToDate>
  <CharactersWithSpaces>0</CharactersWithSpaces>
  <Application>WPS Office 个人版_9.1.0.4648_{F1E327BC-269C-435d-A152-05C5408002CA}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2022-04-22T02:17:00Z</dcterms:created>
  <dc:creator>何徐琳</dc:creator>
  <cp:lastModifiedBy>hxl</cp:lastModifiedBy>
  <dcterms:modified xsi:type="dcterms:W3CDTF">2022-04-27T12:27:43Z</dcterms:modified>
  <dc:title>证券代码：600630            股票简称：龙头股份                 编号：临2022-012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