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4" w:rsidRDefault="00B83194" w:rsidP="00B83194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t>编号：临</w:t>
      </w:r>
      <w:r>
        <w:rPr>
          <w:rFonts w:hint="eastAsia"/>
          <w:b/>
        </w:rPr>
        <w:t>20</w:t>
      </w:r>
      <w:r w:rsidR="000902CF">
        <w:rPr>
          <w:rFonts w:hint="eastAsia"/>
          <w:b/>
        </w:rPr>
        <w:t>21</w:t>
      </w:r>
      <w:r>
        <w:rPr>
          <w:rFonts w:hint="eastAsia"/>
          <w:b/>
        </w:rPr>
        <w:t>-0</w:t>
      </w:r>
      <w:r w:rsidR="000902CF">
        <w:rPr>
          <w:rFonts w:hint="eastAsia"/>
          <w:b/>
        </w:rPr>
        <w:t>01</w:t>
      </w:r>
    </w:p>
    <w:p w:rsidR="00F512CD" w:rsidRDefault="00F512CD" w:rsidP="00F512CD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p w:rsidR="00D62FF6" w:rsidRPr="00D62FF6" w:rsidRDefault="00D62FF6" w:rsidP="00D62FF6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D62FF6">
        <w:rPr>
          <w:rFonts w:ascii="黑体" w:eastAsia="黑体" w:hAnsi="黑体"/>
          <w:b/>
          <w:color w:val="FF0000"/>
          <w:sz w:val="36"/>
          <w:szCs w:val="36"/>
        </w:rPr>
        <w:t>上海龙头（集团）股份有限公司</w:t>
      </w:r>
    </w:p>
    <w:p w:rsidR="00D62FF6" w:rsidRPr="00D62FF6" w:rsidRDefault="00D62FF6" w:rsidP="00D62FF6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D62FF6">
        <w:rPr>
          <w:rFonts w:ascii="黑体" w:eastAsia="黑体" w:hAnsi="黑体"/>
          <w:b/>
          <w:color w:val="FF0000"/>
          <w:sz w:val="36"/>
          <w:szCs w:val="36"/>
        </w:rPr>
        <w:t>关于</w:t>
      </w:r>
      <w:r w:rsidRPr="00D62FF6">
        <w:rPr>
          <w:rFonts w:ascii="黑体" w:eastAsia="黑体" w:hAnsi="黑体" w:hint="eastAsia"/>
          <w:b/>
          <w:color w:val="FF0000"/>
          <w:sz w:val="36"/>
          <w:szCs w:val="36"/>
        </w:rPr>
        <w:t>上海市国有资产监督管理委员会</w:t>
      </w:r>
    </w:p>
    <w:p w:rsidR="00D62FF6" w:rsidRPr="00D62FF6" w:rsidRDefault="00D62FF6" w:rsidP="00D62FF6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D62FF6">
        <w:rPr>
          <w:rFonts w:ascii="黑体" w:eastAsia="黑体" w:hAnsi="黑体" w:hint="eastAsia"/>
          <w:b/>
          <w:color w:val="FF0000"/>
          <w:sz w:val="36"/>
          <w:szCs w:val="36"/>
        </w:rPr>
        <w:t>将东方国际（集团）有限公司部分股权划转至</w:t>
      </w:r>
    </w:p>
    <w:p w:rsidR="00D62FF6" w:rsidRPr="00D62FF6" w:rsidRDefault="00D62FF6" w:rsidP="00D62FF6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D62FF6">
        <w:rPr>
          <w:rFonts w:ascii="黑体" w:eastAsia="黑体" w:hAnsi="黑体" w:hint="eastAsia"/>
          <w:b/>
          <w:color w:val="FF0000"/>
          <w:sz w:val="36"/>
          <w:szCs w:val="36"/>
        </w:rPr>
        <w:t>上海</w:t>
      </w:r>
      <w:r w:rsidR="000902CF">
        <w:rPr>
          <w:rFonts w:ascii="黑体" w:eastAsia="黑体" w:hAnsi="黑体" w:hint="eastAsia"/>
          <w:b/>
          <w:color w:val="FF0000"/>
          <w:sz w:val="36"/>
          <w:szCs w:val="36"/>
        </w:rPr>
        <w:t>市财政局</w:t>
      </w:r>
      <w:r w:rsidRPr="00D62FF6">
        <w:rPr>
          <w:rFonts w:ascii="黑体" w:eastAsia="黑体" w:hAnsi="黑体" w:hint="eastAsia"/>
          <w:b/>
          <w:color w:val="FF0000"/>
          <w:sz w:val="36"/>
          <w:szCs w:val="36"/>
        </w:rPr>
        <w:t>的</w:t>
      </w:r>
      <w:r w:rsidR="007E75CB">
        <w:rPr>
          <w:rFonts w:ascii="黑体" w:eastAsia="黑体" w:hAnsi="黑体" w:hint="eastAsia"/>
          <w:b/>
          <w:color w:val="FF0000"/>
          <w:sz w:val="36"/>
          <w:szCs w:val="36"/>
        </w:rPr>
        <w:t>提示性</w:t>
      </w:r>
      <w:r w:rsidRPr="00D62FF6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7"/>
        <w:tblW w:w="5000" w:type="pct"/>
        <w:tblLook w:val="04A0"/>
      </w:tblPr>
      <w:tblGrid>
        <w:gridCol w:w="8856"/>
      </w:tblGrid>
      <w:tr w:rsidR="00D62FF6" w:rsidTr="00D7163C">
        <w:tc>
          <w:tcPr>
            <w:tcW w:w="5000" w:type="pct"/>
          </w:tcPr>
          <w:p w:rsidR="00D62FF6" w:rsidRDefault="00D62FF6" w:rsidP="00135D04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BB6F23">
              <w:rPr>
                <w:rFonts w:hint="eastAsia"/>
                <w:color w:val="000000" w:themeColor="text1"/>
                <w:sz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:rsidR="00D7163C" w:rsidRDefault="00D7163C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</w:p>
    <w:p w:rsidR="000D2BBD" w:rsidRDefault="000D2BBD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color w:val="000000" w:themeColor="text1"/>
          <w:sz w:val="24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重要内容提示：</w:t>
      </w:r>
      <w:r w:rsidR="00D7163C"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本次</w:t>
      </w:r>
      <w:r w:rsidR="002126D6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公司</w:t>
      </w:r>
      <w:r w:rsidR="00E418A2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间接控股股东</w:t>
      </w:r>
      <w:r w:rsidR="00273B1C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国有</w:t>
      </w:r>
      <w:r w:rsidR="00E55989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股</w:t>
      </w:r>
      <w:r w:rsidR="00D7163C" w:rsidRPr="00D7163C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权划转后，不会导致公司控股股东及实际控制人发生变更。</w:t>
      </w:r>
    </w:p>
    <w:p w:rsidR="00DB0E83" w:rsidRDefault="00DB0E83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</w:p>
    <w:p w:rsidR="00D7163C" w:rsidRPr="005E393C" w:rsidRDefault="005E393C" w:rsidP="005E393C">
      <w:pPr>
        <w:spacing w:line="360" w:lineRule="auto"/>
        <w:ind w:firstLineChars="200" w:firstLine="482"/>
        <w:rPr>
          <w:rFonts w:asciiTheme="minorHAnsi" w:eastAsiaTheme="minorEastAsia" w:hAnsiTheme="minorHAnsi" w:cstheme="minorBidi"/>
          <w:b/>
          <w:color w:val="000000" w:themeColor="text1"/>
          <w:sz w:val="24"/>
        </w:rPr>
      </w:pPr>
      <w:r w:rsidRPr="005E393C">
        <w:rPr>
          <w:rFonts w:asciiTheme="minorHAnsi" w:eastAsiaTheme="minorEastAsia" w:hAnsiTheme="minorHAnsi" w:cstheme="minorBidi" w:hint="eastAsia"/>
          <w:b/>
          <w:color w:val="000000" w:themeColor="text1"/>
          <w:sz w:val="24"/>
        </w:rPr>
        <w:t>一、本次国有股权划转的基本情况</w:t>
      </w:r>
    </w:p>
    <w:p w:rsidR="002E6012" w:rsidRDefault="007515B1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  <w:r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上海龙头（集团）股份有限公司（以下简称“公司”、“本公司”）于</w:t>
      </w:r>
      <w:r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20</w:t>
      </w:r>
      <w:r w:rsidR="000902CF"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21</w:t>
      </w:r>
      <w:r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年</w:t>
      </w:r>
      <w:r w:rsidR="000902CF"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1</w:t>
      </w:r>
      <w:r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月</w:t>
      </w:r>
      <w:r w:rsidR="000902CF"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4</w:t>
      </w:r>
      <w:r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日</w:t>
      </w:r>
      <w:r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收到</w:t>
      </w:r>
      <w:r w:rsidR="000902CF"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公司间接控股</w:t>
      </w:r>
      <w:proofErr w:type="gramStart"/>
      <w:r w:rsidR="000902CF"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股东东方</w:t>
      </w:r>
      <w:proofErr w:type="gramEnd"/>
      <w:r w:rsidR="000902CF"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国际（集团）有限公司</w:t>
      </w:r>
      <w:r w:rsid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（以下简称“</w:t>
      </w:r>
      <w:r w:rsidR="000D2BBD"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东方国际集团</w:t>
      </w:r>
      <w:r w:rsid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”）</w:t>
      </w:r>
      <w:r w:rsidR="000902CF" w:rsidRPr="009E6253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转发的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《关于划转东浩兰生（集团）有限公司等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9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家企业部分国有资本有关事项的通知》（沪国资委产权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[2020]463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号），通知主要内容如下：为贯彻落实《国务院关于印发划转部分国有资本充实社保基金实施方案的通知》（国发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[2017]49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号）《财政部</w:t>
      </w:r>
      <w:r w:rsid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 xml:space="preserve"> 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人力资源社会保障部</w:t>
      </w:r>
      <w:r w:rsid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 xml:space="preserve"> 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国资委</w:t>
      </w:r>
      <w:r w:rsid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 xml:space="preserve"> 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税务总局</w:t>
      </w:r>
      <w:r w:rsid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 xml:space="preserve"> 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证监会关于全面推开划转部分国有资本充实社保基金工作的通知》（财资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[2019]49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号）和《上海市人民政府关于印发〈上海市划转部分国有资本充实社保基金实施方案〉的通知》（沪府发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[2020]3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号）要求，积极稳妥做好划转部分国有资本充实社保基金工作，经上海市财政局、上海市国有资产监督管理委员会（以下简称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“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上海市国资委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”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）、上海市人力资源社会保障局审核确认，将上海市国资委持有的</w:t>
      </w:r>
      <w:r w:rsidR="000D2BBD"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东方国际集团</w:t>
      </w:r>
      <w:r w:rsidR="000D2BBD" w:rsidRPr="007E75CB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6.6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%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的国有股权一次性划转给上海市财政局持有，本次国有股权划转以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2019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年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12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月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31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日为</w:t>
      </w:r>
      <w:r w:rsidR="002126D6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划转</w:t>
      </w:r>
      <w:r w:rsidR="009E6253"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基准日。</w:t>
      </w:r>
    </w:p>
    <w:p w:rsidR="000D2BBD" w:rsidRDefault="009E6253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  <w:r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本次国有股权划转前，公司与实际控制人的股权关系结构图如下：</w:t>
      </w:r>
    </w:p>
    <w:p w:rsidR="002E6012" w:rsidRDefault="0058294B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  <w:r w:rsidRPr="0058294B">
        <w:rPr>
          <w:noProof/>
          <w:color w:val="000000" w:themeColor="text1"/>
          <w:sz w:val="24"/>
        </w:rPr>
        <w:lastRenderedPageBreak/>
        <w:pict>
          <v:group id="_x0000_s2156" style="position:absolute;left:0;text-align:left;margin-left:86.8pt;margin-top:1.5pt;width:208.3pt;height:253.5pt;z-index:251718656" coordorigin="3536,1470" coordsize="4166,5070">
            <v:rect id="_x0000_s2141" style="position:absolute;left:3704;top:1470;width:3735;height:525" o:regroupid="2" strokeweight="1pt">
              <v:textbox style="mso-next-textbox:#_x0000_s2141">
                <w:txbxContent>
                  <w:p w:rsidR="002E6012" w:rsidRDefault="002E6012" w:rsidP="002E6012">
                    <w:pPr>
                      <w:jc w:val="center"/>
                    </w:pPr>
                    <w:r>
                      <w:rPr>
                        <w:rFonts w:hint="eastAsia"/>
                      </w:rPr>
                      <w:t>上海市国有资产监督管理委员会</w:t>
                    </w:r>
                  </w:p>
                </w:txbxContent>
              </v:textbox>
            </v:rect>
            <v:rect id="_x0000_s2142" style="position:absolute;left:4469;top:2685;width:2970;height:435" o:regroupid="2" strokeweight="1pt">
              <v:textbox style="mso-next-textbox:#_x0000_s2142">
                <w:txbxContent>
                  <w:p w:rsidR="002E6012" w:rsidRPr="00AA14BE" w:rsidRDefault="002E6012" w:rsidP="002E6012">
                    <w:pPr>
                      <w:jc w:val="center"/>
                      <w:rPr>
                        <w:szCs w:val="21"/>
                      </w:rPr>
                    </w:pPr>
                    <w:r w:rsidRPr="00AA14BE">
                      <w:rPr>
                        <w:rFonts w:hint="eastAsia"/>
                        <w:szCs w:val="21"/>
                      </w:rPr>
                      <w:t>上海国盛（集团）有限公司</w:t>
                    </w:r>
                  </w:p>
                </w:txbxContent>
              </v:textbox>
            </v:rect>
            <v:rect id="_x0000_s2143" style="position:absolute;left:3704;top:4800;width:3735;height:525" o:regroupid="2" strokeweight="1pt">
              <v:textbox style="mso-next-textbox:#_x0000_s2143">
                <w:txbxContent>
                  <w:p w:rsidR="002E6012" w:rsidRDefault="002E6012" w:rsidP="002E6012">
                    <w:pPr>
                      <w:jc w:val="center"/>
                    </w:pPr>
                    <w:r>
                      <w:rPr>
                        <w:rFonts w:hint="eastAsia"/>
                      </w:rPr>
                      <w:t>上海纺织（集团）有限公司</w:t>
                    </w:r>
                  </w:p>
                </w:txbxContent>
              </v:textbox>
            </v:rect>
            <v:rect id="_x0000_s2144" style="position:absolute;left:3704;top:6015;width:3735;height:525" o:regroupid="2" strokeweight="1pt">
              <v:textbox style="mso-next-textbox:#_x0000_s2144">
                <w:txbxContent>
                  <w:p w:rsidR="002E6012" w:rsidRDefault="002E6012" w:rsidP="002E6012">
                    <w:pPr>
                      <w:jc w:val="center"/>
                    </w:pPr>
                    <w:r>
                      <w:rPr>
                        <w:rFonts w:hint="eastAsia"/>
                      </w:rPr>
                      <w:t>上海龙头（集团）股份有限公司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45" type="#_x0000_t32" style="position:absolute;left:6028;top:1995;width:1;height:705" o:regroupid="2">
              <v:stroke endarrow="block"/>
            </v:shape>
            <v:shape id="_x0000_s2146" type="#_x0000_t32" style="position:absolute;left:6014;top:3120;width:1;height:555" o:regroupid="2">
              <v:stroke endarrow="block"/>
            </v:shape>
            <v:shape id="_x0000_s2147" type="#_x0000_t32" style="position:absolute;left:5577;top:5325;width:1;height:690" o:regroupid="2">
              <v:stroke endarrow="block"/>
            </v:shape>
            <v:rect id="_x0000_s2148" style="position:absolute;left:3719;top:3675;width:3720;height:555" o:regroupid="2" strokeweight="1pt">
              <v:textbox style="mso-next-textbox:#_x0000_s2148">
                <w:txbxContent>
                  <w:p w:rsidR="002E6012" w:rsidRDefault="002E6012" w:rsidP="002E6012">
                    <w:pPr>
                      <w:jc w:val="center"/>
                    </w:pPr>
                    <w:r>
                      <w:rPr>
                        <w:rFonts w:hint="eastAsia"/>
                      </w:rPr>
                      <w:t>东方国际（集团）有限公司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49" type="#_x0000_t202" style="position:absolute;left:6464;top:2142;width:985;height:452;mso-height-percent:200;mso-height-percent:200;mso-width-relative:margin;mso-height-relative:margin" o:regroupid="2" strokecolor="white [3212]">
              <v:textbox style="mso-next-textbox:#_x0000_s2149;mso-fit-shape-to-text:t">
                <w:txbxContent>
                  <w:p w:rsidR="002E6012" w:rsidRPr="00AA14BE" w:rsidRDefault="002E6012" w:rsidP="002E6012">
                    <w:pPr>
                      <w:tabs>
                        <w:tab w:val="left" w:pos="426"/>
                      </w:tabs>
                      <w:ind w:rightChars="-16" w:right="-34"/>
                      <w:rPr>
                        <w:sz w:val="24"/>
                        <w:szCs w:val="24"/>
                      </w:rPr>
                    </w:pPr>
                    <w:r w:rsidRPr="00AA14BE">
                      <w:rPr>
                        <w:rFonts w:hint="eastAsia"/>
                        <w:sz w:val="24"/>
                        <w:szCs w:val="24"/>
                      </w:rPr>
                      <w:t>100%</w:t>
                    </w:r>
                  </w:p>
                </w:txbxContent>
              </v:textbox>
            </v:shape>
            <v:shape id="_x0000_s2150" type="#_x0000_t202" style="position:absolute;left:3536;top:2808;width:839;height:452;mso-height-percent:200;mso-height-percent:200;mso-width-relative:margin;mso-height-relative:margin" o:regroupid="2" strokecolor="white [3212]">
              <v:textbox style="mso-next-textbox:#_x0000_s2150;mso-fit-shape-to-text:t">
                <w:txbxContent>
                  <w:p w:rsidR="002E6012" w:rsidRPr="00AA14BE" w:rsidRDefault="002E6012" w:rsidP="002E601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66</w:t>
                    </w:r>
                    <w:r w:rsidRPr="00AA14BE">
                      <w:rPr>
                        <w:rFonts w:hint="eastAsia"/>
                        <w:sz w:val="24"/>
                        <w:szCs w:val="24"/>
                      </w:rPr>
                      <w:t>%</w:t>
                    </w:r>
                  </w:p>
                </w:txbxContent>
              </v:textbox>
            </v:shape>
            <v:shape id="_x0000_s2151" type="#_x0000_t32" style="position:absolute;left:5579;top:4245;width:1;height:555" o:regroupid="2">
              <v:stroke endarrow="block"/>
            </v:shape>
            <v:shape id="_x0000_s2152" type="#_x0000_t202" style="position:absolute;left:5784;top:4334;width:1918;height:452;mso-height-percent:200;mso-height-percent:200;mso-width-relative:margin;mso-height-relative:margin" o:regroupid="2" strokecolor="white [3212]">
              <v:textbox style="mso-next-textbox:#_x0000_s2152;mso-fit-shape-to-text:t">
                <w:txbxContent>
                  <w:p w:rsidR="002E6012" w:rsidRPr="00AA14BE" w:rsidRDefault="002E6012" w:rsidP="002E6012">
                    <w:pPr>
                      <w:ind w:firstLineChars="200"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84.51</w:t>
                    </w:r>
                    <w:r w:rsidRPr="00AA14BE">
                      <w:rPr>
                        <w:rFonts w:hint="eastAsia"/>
                        <w:sz w:val="24"/>
                        <w:szCs w:val="24"/>
                      </w:rPr>
                      <w:t>%</w:t>
                    </w:r>
                  </w:p>
                </w:txbxContent>
              </v:textbox>
            </v:shape>
            <v:shape id="_x0000_s2153" type="#_x0000_t202" style="position:absolute;left:5996;top:5502;width:1349;height:452;mso-height-percent:200;mso-height-percent:200;mso-width-relative:margin;mso-height-relative:margin" o:regroupid="2" strokecolor="white [3212]">
              <v:textbox style="mso-next-textbox:#_x0000_s2153;mso-fit-shape-to-text:t">
                <w:txbxContent>
                  <w:p w:rsidR="002E6012" w:rsidRPr="00AA14BE" w:rsidRDefault="002E6012" w:rsidP="002E6012">
                    <w:pPr>
                      <w:ind w:firstLineChars="100" w:firstLine="24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30.08</w:t>
                    </w:r>
                    <w:r w:rsidRPr="00AA14BE">
                      <w:rPr>
                        <w:rFonts w:hint="eastAsia"/>
                        <w:sz w:val="24"/>
                        <w:szCs w:val="24"/>
                      </w:rPr>
                      <w:t>%</w:t>
                    </w:r>
                  </w:p>
                </w:txbxContent>
              </v:textbox>
            </v:shape>
            <v:shape id="_x0000_s2154" type="#_x0000_t202" style="position:absolute;left:6449;top:3164;width:985;height:451;mso-width-relative:margin;mso-height-relative:margin" o:regroupid="2" strokecolor="white [3212]">
              <v:textbox style="mso-next-textbox:#_x0000_s2154">
                <w:txbxContent>
                  <w:p w:rsidR="002E6012" w:rsidRPr="00AA14BE" w:rsidRDefault="002E6012" w:rsidP="002E6012">
                    <w:pPr>
                      <w:ind w:firstLineChars="50" w:firstLine="12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34</w:t>
                    </w:r>
                    <w:r w:rsidRPr="00AA14BE">
                      <w:rPr>
                        <w:rFonts w:hint="eastAsia"/>
                        <w:sz w:val="24"/>
                        <w:szCs w:val="24"/>
                      </w:rPr>
                      <w:t>%</w:t>
                    </w:r>
                  </w:p>
                </w:txbxContent>
              </v:textbox>
            </v:shape>
            <v:shape id="_x0000_s2155" type="#_x0000_t32" style="position:absolute;left:4236;top:2001;width:1;height:1695" o:regroupid="2">
              <v:stroke endarrow="block"/>
            </v:shape>
          </v:group>
        </w:pict>
      </w:r>
    </w:p>
    <w:p w:rsidR="002E6012" w:rsidRDefault="002E6012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</w:p>
    <w:p w:rsidR="002E6012" w:rsidRDefault="002E6012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</w:p>
    <w:p w:rsidR="002E6012" w:rsidRDefault="002E6012" w:rsidP="009E6253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</w:p>
    <w:p w:rsidR="009E6253" w:rsidRPr="009E6253" w:rsidRDefault="009E6253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9E6253" w:rsidRDefault="009E6253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9E6253" w:rsidRDefault="009E6253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9E6253" w:rsidRDefault="009E6253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9E6253" w:rsidRDefault="009E6253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2E6012" w:rsidRDefault="002E6012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3C09AF" w:rsidRDefault="003C09AF" w:rsidP="00D67F82">
      <w:pPr>
        <w:spacing w:line="360" w:lineRule="auto"/>
        <w:ind w:firstLineChars="200" w:firstLine="480"/>
        <w:jc w:val="left"/>
        <w:rPr>
          <w:rFonts w:asciiTheme="minorHAnsi" w:eastAsiaTheme="minorEastAsia" w:hAnsiTheme="minorHAnsi" w:cstheme="minorBidi"/>
          <w:color w:val="000000" w:themeColor="text1"/>
          <w:sz w:val="24"/>
        </w:rPr>
      </w:pPr>
      <w:r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本次国有股权划转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后</w:t>
      </w:r>
      <w:r w:rsidRPr="009E6253">
        <w:rPr>
          <w:rFonts w:asciiTheme="minorHAnsi" w:eastAsiaTheme="minorEastAsia" w:hAnsiTheme="minorHAnsi" w:cstheme="minorBidi"/>
          <w:color w:val="000000" w:themeColor="text1"/>
          <w:sz w:val="24"/>
        </w:rPr>
        <w:t>，</w:t>
      </w:r>
      <w:r w:rsidR="005E393C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 xml:space="preserve"> </w:t>
      </w:r>
      <w:r w:rsidR="00D67F82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公司与实际控制人的股权关系结构图如下：</w:t>
      </w:r>
    </w:p>
    <w:p w:rsidR="002E6012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shape id="_x0000_s2177" type="#_x0000_t32" style="position:absolute;left:0;text-align:left;margin-left:336.75pt;margin-top:27.25pt;width:0;height:96.45pt;z-index:251753472" o:connectortype="straight"/>
        </w:pict>
      </w:r>
      <w:r>
        <w:rPr>
          <w:noProof/>
          <w:color w:val="000000" w:themeColor="text1"/>
          <w:sz w:val="24"/>
        </w:rPr>
        <w:pict>
          <v:rect id="_x0000_s2175" style="position:absolute;left:0;text-align:left;margin-left:278.3pt;margin-top:1pt;width:114.7pt;height:26.25pt;z-index:251752448" strokeweight="1pt">
            <v:textbox style="mso-next-textbox:#_x0000_s2175">
              <w:txbxContent>
                <w:p w:rsidR="00D67F82" w:rsidRDefault="00D67F82" w:rsidP="00D67F82">
                  <w:pPr>
                    <w:jc w:val="center"/>
                  </w:pPr>
                  <w:r>
                    <w:rPr>
                      <w:rFonts w:hint="eastAsia"/>
                    </w:rPr>
                    <w:t>上海市财政局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4"/>
        </w:rPr>
        <w:pict>
          <v:shape id="直接箭头连接符 10" o:spid="_x0000_s2172" type="#_x0000_t32" style="position:absolute;left:0;text-align:left;margin-left:103.95pt;margin-top:27.25pt;width:.05pt;height:84.75pt;z-index:251751424" o:regroupid="3">
            <v:stroke endarrow="block"/>
          </v:shape>
        </w:pict>
      </w:r>
      <w:r>
        <w:rPr>
          <w:noProof/>
          <w:color w:val="000000" w:themeColor="text1"/>
          <w:sz w:val="24"/>
        </w:rPr>
        <w:pict>
          <v:shape id="直接箭头连接符 18" o:spid="_x0000_s2162" type="#_x0000_t32" style="position:absolute;left:0;text-align:left;margin-left:193.55pt;margin-top:26.95pt;width:.05pt;height:35.25pt;z-index:251741184" o:regroupid="3">
            <v:stroke endarrow="block"/>
          </v:shape>
        </w:pict>
      </w:r>
      <w:r>
        <w:rPr>
          <w:noProof/>
          <w:color w:val="000000" w:themeColor="text1"/>
          <w:sz w:val="24"/>
        </w:rPr>
        <w:pict>
          <v:rect id="矩形 2" o:spid="_x0000_s2158" style="position:absolute;left:0;text-align:left;margin-left:77.35pt;margin-top:.7pt;width:186.75pt;height:26.25pt;z-index:251737088" o:regroupid="3" strokeweight="1pt">
            <v:textbox style="mso-next-textbox:#矩形 2">
              <w:txbxContent>
                <w:p w:rsidR="003C09AF" w:rsidRDefault="003C09AF" w:rsidP="003C09AF">
                  <w:pPr>
                    <w:jc w:val="center"/>
                  </w:pPr>
                  <w:r>
                    <w:rPr>
                      <w:rFonts w:hint="eastAsia"/>
                    </w:rPr>
                    <w:t>上海市国有资产监督管理委员会</w:t>
                  </w:r>
                </w:p>
              </w:txbxContent>
            </v:textbox>
          </v:rect>
        </w:pict>
      </w:r>
    </w:p>
    <w:p w:rsidR="002E6012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shape id="_x0000_s2166" type="#_x0000_t202" style="position:absolute;left:0;text-align:left;margin-left:216.2pt;margin-top:1.35pt;width:49.25pt;height:22.6pt;z-index:251745280;mso-height-percent:200;mso-height-percent:200;mso-width-relative:margin;mso-height-relative:margin" o:regroupid="3" strokecolor="white [3212]">
            <v:textbox style="mso-next-textbox:#_x0000_s2166;mso-fit-shape-to-text:t">
              <w:txbxContent>
                <w:p w:rsidR="003C09AF" w:rsidRPr="00AA14BE" w:rsidRDefault="003C09AF" w:rsidP="003C09AF">
                  <w:pPr>
                    <w:tabs>
                      <w:tab w:val="left" w:pos="426"/>
                    </w:tabs>
                    <w:ind w:rightChars="-16" w:right="-34"/>
                    <w:rPr>
                      <w:sz w:val="24"/>
                      <w:szCs w:val="24"/>
                    </w:rPr>
                  </w:pPr>
                  <w:r w:rsidRPr="00AA14BE">
                    <w:rPr>
                      <w:rFonts w:hint="eastAsia"/>
                      <w:sz w:val="24"/>
                      <w:szCs w:val="24"/>
                    </w:rPr>
                    <w:t>100%</w:t>
                  </w:r>
                </w:p>
              </w:txbxContent>
            </v:textbox>
          </v:shape>
        </w:pict>
      </w:r>
    </w:p>
    <w:p w:rsidR="003C09AF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shape id="_x0000_s2179" type="#_x0000_t202" style="position:absolute;left:0;text-align:left;margin-left:343.5pt;margin-top:8.05pt;width:62.95pt;height:22.6pt;z-index:251755520;mso-height-percent:200;mso-height-percent:200;mso-width-relative:margin;mso-height-relative:margin" strokecolor="white [3212]">
            <v:textbox style="mso-next-textbox:#_x0000_s2179;mso-fit-shape-to-text:t">
              <w:txbxContent>
                <w:p w:rsidR="007E75CB" w:rsidRPr="00AA14BE" w:rsidRDefault="007E75CB" w:rsidP="007E75C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6.6</w:t>
                  </w:r>
                  <w:r w:rsidRPr="00AA14BE">
                    <w:rPr>
                      <w:rFonts w:hint="eastAsia"/>
                      <w:sz w:val="24"/>
                      <w:szCs w:val="24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4"/>
        </w:rPr>
        <w:pict>
          <v:shape id="_x0000_s2167" type="#_x0000_t202" style="position:absolute;left:0;text-align:left;margin-left:49.3pt;margin-top:7.05pt;width:62.95pt;height:37.25pt;z-index:251746304;mso-height-percent:200;mso-height-percent:200;mso-width-relative:margin;mso-height-relative:margin" o:regroupid="3" strokecolor="white [3212]">
            <v:textbox style="mso-next-textbox:#_x0000_s2167;mso-fit-shape-to-text:t">
              <w:txbxContent>
                <w:p w:rsidR="003C09AF" w:rsidRPr="00AA14BE" w:rsidRDefault="00D67F82" w:rsidP="003C09A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59.4</w:t>
                  </w:r>
                  <w:r w:rsidR="003C09AF" w:rsidRPr="00AA14BE">
                    <w:rPr>
                      <w:rFonts w:hint="eastAsia"/>
                      <w:sz w:val="24"/>
                      <w:szCs w:val="24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4"/>
        </w:rPr>
        <w:pict>
          <v:shape id="_x0000_s2171" type="#_x0000_t202" style="position:absolute;left:0;text-align:left;margin-left:214.6pt;margin-top:23.45pt;width:49.25pt;height:22.55pt;z-index:251750400;mso-width-relative:margin;mso-height-relative:margin" o:regroupid="3" strokecolor="white [3212]">
            <v:textbox style="mso-next-textbox:#_x0000_s2171">
              <w:txbxContent>
                <w:p w:rsidR="003C09AF" w:rsidRPr="00AA14BE" w:rsidRDefault="003C09AF" w:rsidP="003C09AF">
                  <w:pPr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34</w:t>
                  </w:r>
                  <w:r w:rsidRPr="00AA14BE">
                    <w:rPr>
                      <w:rFonts w:hint="eastAsia"/>
                      <w:sz w:val="24"/>
                      <w:szCs w:val="24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4"/>
        </w:rPr>
        <w:pict>
          <v:shape id="直接箭头连接符 25" o:spid="_x0000_s2163" type="#_x0000_t32" style="position:absolute;left:0;text-align:left;margin-left:192.85pt;margin-top:21.25pt;width:.05pt;height:27.75pt;z-index:251742208" o:regroupid="3">
            <v:stroke endarrow="block"/>
          </v:shape>
        </w:pict>
      </w:r>
      <w:r>
        <w:rPr>
          <w:noProof/>
          <w:color w:val="000000" w:themeColor="text1"/>
          <w:sz w:val="24"/>
        </w:rPr>
        <w:pict>
          <v:rect id="矩形 3" o:spid="_x0000_s2159" style="position:absolute;left:0;text-align:left;margin-left:115.6pt;margin-top:-.55pt;width:148.5pt;height:21.75pt;z-index:251738112" o:regroupid="3" strokeweight="1pt">
            <v:textbox style="mso-next-textbox:#矩形 3">
              <w:txbxContent>
                <w:p w:rsidR="003C09AF" w:rsidRPr="00D67F82" w:rsidRDefault="003C09AF" w:rsidP="003C09AF">
                  <w:pPr>
                    <w:jc w:val="center"/>
                  </w:pPr>
                  <w:r w:rsidRPr="00D67F82">
                    <w:rPr>
                      <w:rFonts w:hint="eastAsia"/>
                    </w:rPr>
                    <w:t>上海国盛（集团）有限公司</w:t>
                  </w:r>
                </w:p>
              </w:txbxContent>
            </v:textbox>
          </v:rect>
        </w:pict>
      </w:r>
    </w:p>
    <w:p w:rsidR="003C09AF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rect id="_x0000_s2165" style="position:absolute;left:0;text-align:left;margin-left:78.1pt;margin-top:21pt;width:186pt;height:27.75pt;z-index:251744256" o:regroupid="3" strokeweight="1pt">
            <v:textbox style="mso-next-textbox:#_x0000_s2165">
              <w:txbxContent>
                <w:p w:rsidR="003C09AF" w:rsidRDefault="003C09AF" w:rsidP="003C09AF">
                  <w:pPr>
                    <w:jc w:val="center"/>
                  </w:pPr>
                  <w:r>
                    <w:rPr>
                      <w:rFonts w:hint="eastAsia"/>
                    </w:rPr>
                    <w:t>东方国际（集团）有限公司</w:t>
                  </w:r>
                </w:p>
              </w:txbxContent>
            </v:textbox>
          </v:rect>
        </w:pict>
      </w:r>
    </w:p>
    <w:p w:rsidR="003C09AF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shape id="_x0000_s2178" type="#_x0000_t32" style="position:absolute;left:0;text-align:left;margin-left:263.85pt;margin-top:5.8pt;width:70.35pt;height:0;flip:x;z-index:251754496" o:connectortype="straight">
            <v:stroke endarrow="block"/>
          </v:shape>
        </w:pict>
      </w:r>
      <w:r>
        <w:rPr>
          <w:noProof/>
          <w:color w:val="000000" w:themeColor="text1"/>
          <w:sz w:val="24"/>
        </w:rPr>
        <w:pict>
          <v:shape id="_x0000_s2169" type="#_x0000_t202" style="position:absolute;left:0;text-align:left;margin-left:181.95pt;margin-top:26.5pt;width:95.9pt;height:22.6pt;z-index:251748352;mso-height-percent:200;mso-height-percent:200;mso-width-relative:margin;mso-height-relative:margin" o:regroupid="3" strokecolor="white [3212]">
            <v:textbox style="mso-next-textbox:#_x0000_s2169;mso-fit-shape-to-text:t">
              <w:txbxContent>
                <w:p w:rsidR="003C09AF" w:rsidRPr="00AA14BE" w:rsidRDefault="003C09AF" w:rsidP="003C09A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84.</w:t>
                  </w:r>
                  <w:r w:rsidR="00273B1C">
                    <w:rPr>
                      <w:rFonts w:hint="eastAsia"/>
                      <w:sz w:val="24"/>
                      <w:szCs w:val="24"/>
                    </w:rPr>
                    <w:t>5081</w:t>
                  </w:r>
                  <w:r w:rsidRPr="00AA14BE">
                    <w:rPr>
                      <w:rFonts w:hint="eastAsia"/>
                      <w:sz w:val="24"/>
                      <w:szCs w:val="24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4"/>
        </w:rPr>
        <w:pict>
          <v:shape id="_x0000_s2168" type="#_x0000_t32" style="position:absolute;left:0;text-align:left;margin-left:171.1pt;margin-top:21.55pt;width:.05pt;height:27.75pt;z-index:251747328" o:regroupid="3">
            <v:stroke endarrow="block"/>
          </v:shape>
        </w:pict>
      </w:r>
    </w:p>
    <w:p w:rsidR="003C09AF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rect id="矩形 5" o:spid="_x0000_s2160" style="position:absolute;left:0;text-align:left;margin-left:77.35pt;margin-top:21.3pt;width:186.75pt;height:26.25pt;z-index:251739136" o:regroupid="3" strokeweight="1pt">
            <v:textbox style="mso-next-textbox:#矩形 5">
              <w:txbxContent>
                <w:p w:rsidR="003C09AF" w:rsidRDefault="003C09AF" w:rsidP="003C09AF">
                  <w:pPr>
                    <w:jc w:val="center"/>
                  </w:pPr>
                  <w:r>
                    <w:rPr>
                      <w:rFonts w:hint="eastAsia"/>
                    </w:rPr>
                    <w:t>上海纺织（集团）有限公司</w:t>
                  </w:r>
                </w:p>
              </w:txbxContent>
            </v:textbox>
          </v:rect>
        </w:pict>
      </w:r>
    </w:p>
    <w:p w:rsidR="003C09AF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shape id="直接箭头连接符 26" o:spid="_x0000_s2164" type="#_x0000_t32" style="position:absolute;left:0;text-align:left;margin-left:171pt;margin-top:19.6pt;width:.05pt;height:34.5pt;z-index:251743232" o:regroupid="3">
            <v:stroke endarrow="block"/>
          </v:shape>
        </w:pict>
      </w:r>
    </w:p>
    <w:p w:rsidR="003C09AF" w:rsidRPr="00D67F82" w:rsidRDefault="0058294B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pict>
          <v:shape id="_x0000_s2170" type="#_x0000_t202" style="position:absolute;left:0;text-align:left;margin-left:192.65pt;margin-top:.9pt;width:67.45pt;height:22.6pt;z-index:251749376;mso-height-percent:200;mso-height-percent:200;mso-width-relative:margin;mso-height-relative:margin" o:regroupid="3" strokecolor="white [3212]">
            <v:textbox style="mso-next-textbox:#_x0000_s2170;mso-fit-shape-to-text:t">
              <w:txbxContent>
                <w:p w:rsidR="003C09AF" w:rsidRPr="00AA14BE" w:rsidRDefault="003C09AF" w:rsidP="003C09AF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30.08</w:t>
                  </w:r>
                  <w:r w:rsidRPr="00AA14BE">
                    <w:rPr>
                      <w:rFonts w:hint="eastAsia"/>
                      <w:sz w:val="24"/>
                      <w:szCs w:val="24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4"/>
        </w:rPr>
        <w:pict>
          <v:rect id="矩形 8" o:spid="_x0000_s2161" style="position:absolute;left:0;text-align:left;margin-left:77.35pt;margin-top:26.1pt;width:186.75pt;height:26.25pt;z-index:251740160" o:regroupid="3" strokeweight="1pt">
            <v:textbox style="mso-next-textbox:#矩形 8">
              <w:txbxContent>
                <w:p w:rsidR="003C09AF" w:rsidRDefault="003C09AF" w:rsidP="003C09AF">
                  <w:pPr>
                    <w:jc w:val="center"/>
                  </w:pPr>
                  <w:r>
                    <w:rPr>
                      <w:rFonts w:hint="eastAsia"/>
                    </w:rPr>
                    <w:t>上海龙头（集团）股份有限公司</w:t>
                  </w:r>
                </w:p>
              </w:txbxContent>
            </v:textbox>
          </v:rect>
        </w:pict>
      </w:r>
    </w:p>
    <w:p w:rsidR="003C09AF" w:rsidRPr="00D67F82" w:rsidRDefault="003C09AF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</w:p>
    <w:p w:rsidR="00D67F82" w:rsidRDefault="00D67F82" w:rsidP="00DB0E83">
      <w:pPr>
        <w:spacing w:beforeLines="50" w:afterLines="50" w:line="360" w:lineRule="auto"/>
        <w:ind w:firstLineChars="200" w:firstLine="480"/>
        <w:rPr>
          <w:rFonts w:asciiTheme="minorHAnsi" w:eastAsiaTheme="minorEastAsia" w:hAnsiTheme="minorHAnsi" w:cstheme="minorBidi"/>
          <w:color w:val="000000" w:themeColor="text1"/>
          <w:sz w:val="24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划转完成后，本</w:t>
      </w:r>
      <w:r w:rsidRPr="005E393C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公司实际控制人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和控股股东</w:t>
      </w:r>
      <w:r w:rsidRPr="005E393C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未发生变化，仍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分别为上海市国资委和</w:t>
      </w:r>
      <w:r w:rsidRPr="005E393C">
        <w:rPr>
          <w:rFonts w:asciiTheme="minorHAnsi" w:eastAsiaTheme="minorEastAsia" w:hAnsiTheme="minorHAnsi" w:cstheme="minorBidi" w:hint="eastAsia"/>
          <w:color w:val="000000" w:themeColor="text1"/>
          <w:sz w:val="24"/>
        </w:rPr>
        <w:t>上海纺织（集团）有限公司。</w:t>
      </w:r>
    </w:p>
    <w:p w:rsidR="005E393C" w:rsidRDefault="005E393C" w:rsidP="00DB0E83">
      <w:pPr>
        <w:spacing w:beforeLines="50" w:afterLines="50"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二、本次国有股权划转所涉及后续事项</w:t>
      </w:r>
    </w:p>
    <w:p w:rsidR="00672E1E" w:rsidRPr="0021633E" w:rsidRDefault="00D67F82" w:rsidP="00D67F82">
      <w:pPr>
        <w:spacing w:line="360" w:lineRule="auto"/>
        <w:ind w:firstLineChars="236" w:firstLine="566"/>
        <w:jc w:val="left"/>
        <w:rPr>
          <w:rFonts w:ascii="宋体" w:hAnsi="宋体" w:cs="宋体"/>
          <w:sz w:val="24"/>
          <w:szCs w:val="24"/>
        </w:rPr>
      </w:pPr>
      <w:r w:rsidRPr="0029149D">
        <w:rPr>
          <w:rFonts w:hint="eastAsia"/>
          <w:color w:val="000000" w:themeColor="text1"/>
          <w:sz w:val="24"/>
        </w:rPr>
        <w:t>公司将</w:t>
      </w:r>
      <w:r w:rsidR="00375665">
        <w:rPr>
          <w:rFonts w:hint="eastAsia"/>
          <w:color w:val="000000" w:themeColor="text1"/>
          <w:sz w:val="24"/>
        </w:rPr>
        <w:t>持续关注</w:t>
      </w:r>
      <w:r>
        <w:rPr>
          <w:rFonts w:hint="eastAsia"/>
          <w:color w:val="000000" w:themeColor="text1"/>
          <w:sz w:val="24"/>
        </w:rPr>
        <w:t>上述事项进展</w:t>
      </w:r>
      <w:r w:rsidR="00375665">
        <w:rPr>
          <w:rFonts w:hint="eastAsia"/>
          <w:color w:val="000000" w:themeColor="text1"/>
          <w:sz w:val="24"/>
        </w:rPr>
        <w:t>情况</w:t>
      </w:r>
      <w:r>
        <w:rPr>
          <w:rFonts w:hint="eastAsia"/>
          <w:color w:val="000000" w:themeColor="text1"/>
          <w:sz w:val="24"/>
        </w:rPr>
        <w:t>，</w:t>
      </w:r>
      <w:r w:rsidR="00375665">
        <w:rPr>
          <w:rFonts w:hint="eastAsia"/>
          <w:color w:val="000000" w:themeColor="text1"/>
          <w:sz w:val="24"/>
        </w:rPr>
        <w:t>并严格</w:t>
      </w:r>
      <w:r w:rsidRPr="0029149D">
        <w:rPr>
          <w:rFonts w:hint="eastAsia"/>
          <w:color w:val="000000" w:themeColor="text1"/>
          <w:sz w:val="24"/>
        </w:rPr>
        <w:t>按照《公司法》、《证券法》等相关</w:t>
      </w:r>
      <w:r w:rsidRPr="0029149D">
        <w:rPr>
          <w:rFonts w:hint="eastAsia"/>
          <w:color w:val="000000" w:themeColor="text1"/>
          <w:sz w:val="24"/>
        </w:rPr>
        <w:lastRenderedPageBreak/>
        <w:t>法律法规和规章的规定，及时履行信息披露义务。</w:t>
      </w:r>
      <w:r w:rsidR="00672E1E" w:rsidRPr="0021633E">
        <w:rPr>
          <w:rFonts w:ascii="宋体" w:hAnsi="宋体" w:cs="宋体" w:hint="eastAsia"/>
          <w:sz w:val="24"/>
          <w:szCs w:val="24"/>
        </w:rPr>
        <w:t>公司指定信息披露媒体为《上海证券报》</w:t>
      </w:r>
      <w:r w:rsidR="00D62FF6">
        <w:rPr>
          <w:rFonts w:ascii="宋体" w:hAnsi="宋体" w:cs="宋体" w:hint="eastAsia"/>
          <w:sz w:val="24"/>
          <w:szCs w:val="24"/>
        </w:rPr>
        <w:t>、《中国证券报》</w:t>
      </w:r>
      <w:r w:rsidR="00672E1E" w:rsidRPr="0021633E">
        <w:rPr>
          <w:rFonts w:ascii="宋体" w:hAnsi="宋体" w:cs="宋体" w:hint="eastAsia"/>
          <w:sz w:val="24"/>
          <w:szCs w:val="24"/>
        </w:rPr>
        <w:t>和上海证券交易所网站（</w:t>
      </w:r>
      <w:hyperlink r:id="rId6" w:history="1">
        <w:r w:rsidR="008F1965" w:rsidRPr="00443CAD">
          <w:rPr>
            <w:rStyle w:val="a8"/>
            <w:rFonts w:ascii="宋体" w:hAnsi="宋体" w:cs="宋体"/>
            <w:sz w:val="24"/>
            <w:szCs w:val="24"/>
          </w:rPr>
          <w:t>http://www.sse.com.cn</w:t>
        </w:r>
      </w:hyperlink>
      <w:r w:rsidR="00672E1E" w:rsidRPr="0021633E">
        <w:rPr>
          <w:rFonts w:ascii="宋体" w:hAnsi="宋体" w:cs="宋体"/>
          <w:sz w:val="24"/>
          <w:szCs w:val="24"/>
        </w:rPr>
        <w:t>)</w:t>
      </w:r>
      <w:r w:rsidR="008F1965">
        <w:rPr>
          <w:rFonts w:ascii="宋体" w:hAnsi="宋体" w:cs="宋体" w:hint="eastAsia"/>
          <w:sz w:val="24"/>
          <w:szCs w:val="24"/>
        </w:rPr>
        <w:t>。公司所有</w:t>
      </w:r>
      <w:r w:rsidR="00672E1E" w:rsidRPr="0021633E">
        <w:rPr>
          <w:rFonts w:ascii="宋体" w:hAnsi="宋体" w:cs="宋体" w:hint="eastAsia"/>
          <w:sz w:val="24"/>
          <w:szCs w:val="24"/>
        </w:rPr>
        <w:t>信息均以在上述指定媒体刊登的信息为准</w:t>
      </w:r>
      <w:r w:rsidR="008F1965">
        <w:rPr>
          <w:rFonts w:ascii="宋体" w:hAnsi="宋体" w:cs="宋体" w:hint="eastAsia"/>
          <w:sz w:val="24"/>
          <w:szCs w:val="24"/>
        </w:rPr>
        <w:t>，</w:t>
      </w:r>
      <w:r w:rsidR="00672E1E" w:rsidRPr="0021633E">
        <w:rPr>
          <w:rFonts w:ascii="宋体" w:hAnsi="宋体" w:cs="宋体" w:hint="eastAsia"/>
          <w:sz w:val="24"/>
          <w:szCs w:val="24"/>
        </w:rPr>
        <w:t>敬请广大投资者注意投资风险。</w:t>
      </w:r>
    </w:p>
    <w:p w:rsidR="00B83194" w:rsidRDefault="00B83194" w:rsidP="00F512CD">
      <w:pPr>
        <w:pStyle w:val="2"/>
        <w:spacing w:line="240" w:lineRule="auto"/>
        <w:ind w:firstLine="482"/>
        <w:jc w:val="right"/>
        <w:rPr>
          <w:rFonts w:ascii="宋体" w:eastAsia="宋体" w:cs="宋体"/>
          <w:b/>
          <w:kern w:val="0"/>
          <w:sz w:val="24"/>
          <w:szCs w:val="24"/>
        </w:rPr>
      </w:pPr>
    </w:p>
    <w:p w:rsidR="008F1965" w:rsidRPr="008F1965" w:rsidRDefault="008F1965" w:rsidP="008F1965">
      <w:pPr>
        <w:pStyle w:val="2"/>
        <w:spacing w:line="240" w:lineRule="auto"/>
        <w:ind w:firstLine="480"/>
        <w:jc w:val="left"/>
        <w:rPr>
          <w:rFonts w:ascii="Calibri" w:eastAsia="宋体" w:hAnsi="Calibri"/>
          <w:sz w:val="24"/>
          <w:szCs w:val="22"/>
        </w:rPr>
      </w:pPr>
      <w:r w:rsidRPr="008F1965">
        <w:rPr>
          <w:rFonts w:ascii="Calibri" w:eastAsia="宋体" w:hAnsi="Calibri" w:hint="eastAsia"/>
          <w:sz w:val="24"/>
          <w:szCs w:val="22"/>
        </w:rPr>
        <w:t>特此公告。</w:t>
      </w:r>
    </w:p>
    <w:p w:rsidR="00B83194" w:rsidRDefault="00B83194" w:rsidP="00F512CD">
      <w:pPr>
        <w:pStyle w:val="2"/>
        <w:spacing w:line="240" w:lineRule="auto"/>
        <w:ind w:firstLine="482"/>
        <w:jc w:val="right"/>
        <w:rPr>
          <w:rFonts w:ascii="宋体" w:eastAsia="宋体" w:cs="宋体"/>
          <w:b/>
          <w:kern w:val="0"/>
          <w:sz w:val="24"/>
          <w:szCs w:val="24"/>
        </w:rPr>
      </w:pPr>
    </w:p>
    <w:p w:rsidR="00B83194" w:rsidRPr="008F1965" w:rsidRDefault="00B83194" w:rsidP="008F1965">
      <w:pPr>
        <w:pStyle w:val="2"/>
        <w:spacing w:line="240" w:lineRule="auto"/>
        <w:ind w:firstLine="480"/>
        <w:jc w:val="right"/>
        <w:rPr>
          <w:rFonts w:ascii="Calibri" w:eastAsia="宋体" w:hAnsi="Calibri"/>
          <w:sz w:val="24"/>
          <w:szCs w:val="22"/>
        </w:rPr>
      </w:pPr>
    </w:p>
    <w:p w:rsidR="00B83194" w:rsidRPr="008F1965" w:rsidRDefault="00B83194" w:rsidP="008F1965">
      <w:pPr>
        <w:pStyle w:val="2"/>
        <w:spacing w:line="240" w:lineRule="auto"/>
        <w:ind w:firstLine="480"/>
        <w:jc w:val="right"/>
        <w:rPr>
          <w:rFonts w:ascii="Calibri" w:eastAsia="宋体" w:hAnsi="Calibri"/>
          <w:sz w:val="24"/>
          <w:szCs w:val="22"/>
        </w:rPr>
      </w:pPr>
      <w:r w:rsidRPr="008F1965">
        <w:rPr>
          <w:rFonts w:ascii="Calibri" w:eastAsia="宋体" w:hAnsi="Calibri" w:hint="eastAsia"/>
          <w:sz w:val="24"/>
          <w:szCs w:val="22"/>
        </w:rPr>
        <w:t>上海龙头（集团）股份有限公司</w:t>
      </w:r>
    </w:p>
    <w:p w:rsidR="00B83194" w:rsidRPr="008F1965" w:rsidRDefault="00B83194" w:rsidP="008F1965">
      <w:pPr>
        <w:pStyle w:val="2"/>
        <w:spacing w:line="240" w:lineRule="auto"/>
        <w:ind w:firstLine="480"/>
        <w:jc w:val="right"/>
        <w:rPr>
          <w:rFonts w:ascii="Calibri" w:eastAsia="宋体" w:hAnsi="Calibri"/>
          <w:sz w:val="24"/>
          <w:szCs w:val="22"/>
        </w:rPr>
      </w:pPr>
      <w:r w:rsidRPr="008F1965">
        <w:rPr>
          <w:rFonts w:ascii="Calibri" w:eastAsia="宋体" w:hAnsi="Calibri" w:hint="eastAsia"/>
          <w:sz w:val="24"/>
          <w:szCs w:val="22"/>
        </w:rPr>
        <w:t>董事会</w:t>
      </w:r>
    </w:p>
    <w:p w:rsidR="00B83194" w:rsidRPr="007E75CB" w:rsidRDefault="00B83194" w:rsidP="007E75CB">
      <w:pPr>
        <w:pStyle w:val="2"/>
        <w:spacing w:line="240" w:lineRule="auto"/>
        <w:ind w:firstLine="480"/>
        <w:jc w:val="right"/>
        <w:rPr>
          <w:rFonts w:ascii="Calibri" w:eastAsia="宋体" w:hAnsi="Calibri"/>
          <w:sz w:val="24"/>
          <w:szCs w:val="22"/>
        </w:rPr>
      </w:pPr>
      <w:r w:rsidRPr="008F1965">
        <w:rPr>
          <w:rFonts w:hint="eastAsia"/>
          <w:sz w:val="24"/>
        </w:rPr>
        <w:t xml:space="preserve">                                                </w:t>
      </w:r>
      <w:r w:rsidRPr="007E75CB">
        <w:rPr>
          <w:rFonts w:ascii="Calibri" w:eastAsia="宋体" w:hAnsi="Calibri" w:hint="eastAsia"/>
          <w:sz w:val="24"/>
          <w:szCs w:val="22"/>
        </w:rPr>
        <w:t xml:space="preserve"> 20</w:t>
      </w:r>
      <w:r w:rsidR="00016235" w:rsidRPr="007E75CB">
        <w:rPr>
          <w:rFonts w:ascii="Calibri" w:eastAsia="宋体" w:hAnsi="Calibri" w:hint="eastAsia"/>
          <w:sz w:val="24"/>
          <w:szCs w:val="22"/>
        </w:rPr>
        <w:t>21</w:t>
      </w:r>
      <w:r w:rsidRPr="007E75CB">
        <w:rPr>
          <w:rFonts w:ascii="Calibri" w:eastAsia="宋体" w:hAnsi="Calibri" w:hint="eastAsia"/>
          <w:sz w:val="24"/>
          <w:szCs w:val="22"/>
        </w:rPr>
        <w:t>年</w:t>
      </w:r>
      <w:r w:rsidR="00016235" w:rsidRPr="007E75CB">
        <w:rPr>
          <w:rFonts w:ascii="Calibri" w:eastAsia="宋体" w:hAnsi="Calibri" w:hint="eastAsia"/>
          <w:sz w:val="24"/>
          <w:szCs w:val="22"/>
        </w:rPr>
        <w:t>1</w:t>
      </w:r>
      <w:r w:rsidRPr="007E75CB">
        <w:rPr>
          <w:rFonts w:ascii="Calibri" w:eastAsia="宋体" w:hAnsi="Calibri" w:hint="eastAsia"/>
          <w:sz w:val="24"/>
          <w:szCs w:val="22"/>
        </w:rPr>
        <w:t>月</w:t>
      </w:r>
      <w:r w:rsidR="00016235" w:rsidRPr="007E75CB">
        <w:rPr>
          <w:rFonts w:ascii="Calibri" w:eastAsia="宋体" w:hAnsi="Calibri" w:hint="eastAsia"/>
          <w:sz w:val="24"/>
          <w:szCs w:val="22"/>
        </w:rPr>
        <w:t>5</w:t>
      </w:r>
      <w:r w:rsidRPr="007E75CB">
        <w:rPr>
          <w:rFonts w:ascii="Calibri" w:eastAsia="宋体" w:hAnsi="Calibri" w:hint="eastAsia"/>
          <w:sz w:val="24"/>
          <w:szCs w:val="22"/>
        </w:rPr>
        <w:t>日</w:t>
      </w:r>
    </w:p>
    <w:p w:rsidR="00C405AB" w:rsidRPr="008F1965" w:rsidRDefault="00C405AB">
      <w:pPr>
        <w:rPr>
          <w:sz w:val="24"/>
        </w:rPr>
      </w:pPr>
    </w:p>
    <w:sectPr w:rsidR="00C405AB" w:rsidRPr="008F1965" w:rsidSect="00DA227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17" w:rsidRDefault="00C83117" w:rsidP="00B83194">
      <w:r>
        <w:separator/>
      </w:r>
    </w:p>
  </w:endnote>
  <w:endnote w:type="continuationSeparator" w:id="0">
    <w:p w:rsidR="00C83117" w:rsidRDefault="00C83117" w:rsidP="00B8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17" w:rsidRDefault="00C83117" w:rsidP="00B83194">
      <w:r>
        <w:separator/>
      </w:r>
    </w:p>
  </w:footnote>
  <w:footnote w:type="continuationSeparator" w:id="0">
    <w:p w:rsidR="00C83117" w:rsidRDefault="00C83117" w:rsidP="00B83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27F"/>
    <w:rsid w:val="00016235"/>
    <w:rsid w:val="0001700F"/>
    <w:rsid w:val="00026203"/>
    <w:rsid w:val="00061300"/>
    <w:rsid w:val="000706AB"/>
    <w:rsid w:val="000902CF"/>
    <w:rsid w:val="000D2BBD"/>
    <w:rsid w:val="0020552B"/>
    <w:rsid w:val="002126D6"/>
    <w:rsid w:val="00230912"/>
    <w:rsid w:val="00273B1C"/>
    <w:rsid w:val="002A292D"/>
    <w:rsid w:val="002D2C3F"/>
    <w:rsid w:val="002E6012"/>
    <w:rsid w:val="00310293"/>
    <w:rsid w:val="00375665"/>
    <w:rsid w:val="003A0C84"/>
    <w:rsid w:val="003C09AF"/>
    <w:rsid w:val="003D1A6B"/>
    <w:rsid w:val="004262F2"/>
    <w:rsid w:val="0042724D"/>
    <w:rsid w:val="004A48B7"/>
    <w:rsid w:val="00527528"/>
    <w:rsid w:val="00540A26"/>
    <w:rsid w:val="00541423"/>
    <w:rsid w:val="0056018A"/>
    <w:rsid w:val="0058294B"/>
    <w:rsid w:val="005B2999"/>
    <w:rsid w:val="005E393C"/>
    <w:rsid w:val="00610777"/>
    <w:rsid w:val="00672E1E"/>
    <w:rsid w:val="006A5E73"/>
    <w:rsid w:val="006B69AE"/>
    <w:rsid w:val="006D181C"/>
    <w:rsid w:val="006F0AD2"/>
    <w:rsid w:val="007515B1"/>
    <w:rsid w:val="00766CD5"/>
    <w:rsid w:val="0079650A"/>
    <w:rsid w:val="007D18C8"/>
    <w:rsid w:val="007E75CB"/>
    <w:rsid w:val="008151A2"/>
    <w:rsid w:val="008C77EF"/>
    <w:rsid w:val="008F1965"/>
    <w:rsid w:val="008F51DE"/>
    <w:rsid w:val="0093288C"/>
    <w:rsid w:val="00995362"/>
    <w:rsid w:val="009E6253"/>
    <w:rsid w:val="00A173B8"/>
    <w:rsid w:val="00A753D5"/>
    <w:rsid w:val="00A97A83"/>
    <w:rsid w:val="00AA14BE"/>
    <w:rsid w:val="00AA2B74"/>
    <w:rsid w:val="00AD63C9"/>
    <w:rsid w:val="00AE6A3E"/>
    <w:rsid w:val="00AF30BB"/>
    <w:rsid w:val="00B178E1"/>
    <w:rsid w:val="00B652B9"/>
    <w:rsid w:val="00B67ECA"/>
    <w:rsid w:val="00B77D0D"/>
    <w:rsid w:val="00B83194"/>
    <w:rsid w:val="00BC4E99"/>
    <w:rsid w:val="00C14194"/>
    <w:rsid w:val="00C405AB"/>
    <w:rsid w:val="00C72472"/>
    <w:rsid w:val="00C83117"/>
    <w:rsid w:val="00CD4C11"/>
    <w:rsid w:val="00CD7DE2"/>
    <w:rsid w:val="00D54F4F"/>
    <w:rsid w:val="00D62FF6"/>
    <w:rsid w:val="00D67F82"/>
    <w:rsid w:val="00D7163C"/>
    <w:rsid w:val="00DA227F"/>
    <w:rsid w:val="00DB0E83"/>
    <w:rsid w:val="00E418A2"/>
    <w:rsid w:val="00E55989"/>
    <w:rsid w:val="00E7419E"/>
    <w:rsid w:val="00E90191"/>
    <w:rsid w:val="00F16FB1"/>
    <w:rsid w:val="00F501F6"/>
    <w:rsid w:val="00F512CD"/>
    <w:rsid w:val="00F84212"/>
    <w:rsid w:val="00F8589C"/>
    <w:rsid w:val="00FC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  <o:rules v:ext="edit">
        <o:r id="V:Rule13" type="connector" idref="#直接箭头连接符 26"/>
        <o:r id="V:Rule14" type="connector" idref="#_x0000_s2177"/>
        <o:r id="V:Rule15" type="connector" idref="#直接箭头连接符 25"/>
        <o:r id="V:Rule16" type="connector" idref="#_x0000_s2168"/>
        <o:r id="V:Rule17" type="connector" idref="#_x0000_s2146"/>
        <o:r id="V:Rule18" type="connector" idref="#直接箭头连接符 10"/>
        <o:r id="V:Rule19" type="connector" idref="#_x0000_s2147"/>
        <o:r id="V:Rule20" type="connector" idref="#直接箭头连接符 18"/>
        <o:r id="V:Rule21" type="connector" idref="#_x0000_s2155"/>
        <o:r id="V:Rule22" type="connector" idref="#_x0000_s2178"/>
        <o:r id="V:Rule23" type="connector" idref="#_x0000_s2151"/>
        <o:r id="V:Rule24" type="connector" idref="#_x0000_s2145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1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194"/>
    <w:rPr>
      <w:sz w:val="18"/>
      <w:szCs w:val="18"/>
    </w:rPr>
  </w:style>
  <w:style w:type="paragraph" w:styleId="a5">
    <w:name w:val="Normal (Web)"/>
    <w:basedOn w:val="a"/>
    <w:uiPriority w:val="99"/>
    <w:rsid w:val="00B83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rsid w:val="00B83194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character" w:customStyle="1" w:styleId="2Char">
    <w:name w:val="正文文本缩进 2 Char"/>
    <w:basedOn w:val="a0"/>
    <w:link w:val="2"/>
    <w:rsid w:val="00B83194"/>
    <w:rPr>
      <w:rFonts w:ascii="仿宋_GB2312" w:eastAsia="仿宋_GB2312" w:hAnsi="宋体" w:cs="Times New Roman"/>
      <w:sz w:val="30"/>
      <w:szCs w:val="30"/>
    </w:rPr>
  </w:style>
  <w:style w:type="paragraph" w:styleId="a6">
    <w:name w:val="Balloon Text"/>
    <w:basedOn w:val="a"/>
    <w:link w:val="Char1"/>
    <w:uiPriority w:val="99"/>
    <w:semiHidden/>
    <w:unhideWhenUsed/>
    <w:rsid w:val="00F512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12CD"/>
    <w:rPr>
      <w:kern w:val="2"/>
      <w:sz w:val="18"/>
      <w:szCs w:val="18"/>
    </w:rPr>
  </w:style>
  <w:style w:type="paragraph" w:customStyle="1" w:styleId="CharCharCharChar">
    <w:name w:val="Char Char Char Char"/>
    <w:basedOn w:val="a"/>
    <w:rsid w:val="008C77EF"/>
    <w:rPr>
      <w:rFonts w:ascii="Tahoma" w:hAnsi="Tahoma" w:cs="Tahoma"/>
      <w:sz w:val="24"/>
      <w:szCs w:val="24"/>
    </w:rPr>
  </w:style>
  <w:style w:type="table" w:styleId="a7">
    <w:name w:val="Table Grid"/>
    <w:basedOn w:val="a1"/>
    <w:uiPriority w:val="39"/>
    <w:rsid w:val="00D62FF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F1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221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2</cp:revision>
  <cp:lastPrinted>2017-09-08T03:41:00Z</cp:lastPrinted>
  <dcterms:created xsi:type="dcterms:W3CDTF">2021-01-04T08:14:00Z</dcterms:created>
  <dcterms:modified xsi:type="dcterms:W3CDTF">2021-01-04T08:14:00Z</dcterms:modified>
</cp:coreProperties>
</file>