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rPr>
      </w:pPr>
      <w:bookmarkStart w:id="0" w:name="_GoBack"/>
      <w:bookmarkEnd w:id="0"/>
      <w:r>
        <w:rPr>
          <w:rFonts w:hint="eastAsia"/>
          <w:b/>
        </w:rPr>
        <w:t>证券代码：600630            股票简称：龙头股份            编号：临2022-010</w:t>
      </w:r>
    </w:p>
    <w:p>
      <w:pPr>
        <w:jc w:val="center"/>
        <w:rPr>
          <w:rFonts w:ascii="黑体" w:eastAsia="黑体"/>
          <w:b/>
          <w:color w:val="FF0000"/>
          <w:sz w:val="36"/>
          <w:szCs w:val="36"/>
        </w:rPr>
      </w:pPr>
    </w:p>
    <w:p>
      <w:pPr>
        <w:jc w:val="center"/>
        <w:rPr>
          <w:rFonts w:ascii="黑体" w:eastAsia="黑体"/>
          <w:b/>
          <w:color w:val="FF0000"/>
          <w:sz w:val="36"/>
          <w:szCs w:val="36"/>
        </w:rPr>
      </w:pPr>
      <w:r>
        <w:rPr>
          <w:rFonts w:hint="eastAsia" w:ascii="黑体" w:eastAsia="黑体"/>
          <w:b/>
          <w:color w:val="FF0000"/>
          <w:sz w:val="36"/>
          <w:szCs w:val="36"/>
        </w:rPr>
        <w:t>上海龙头（集团）股份有限公司</w:t>
      </w:r>
    </w:p>
    <w:p>
      <w:pPr>
        <w:widowControl/>
        <w:spacing w:before="150" w:line="360" w:lineRule="atLeast"/>
        <w:jc w:val="center"/>
        <w:outlineLvl w:val="0"/>
        <w:rPr>
          <w:rFonts w:ascii="黑体" w:eastAsia="黑体"/>
          <w:b/>
          <w:color w:val="FF0000"/>
          <w:sz w:val="36"/>
          <w:szCs w:val="36"/>
        </w:rPr>
      </w:pPr>
      <w:r>
        <w:rPr>
          <w:rFonts w:ascii="黑体" w:eastAsia="黑体"/>
          <w:b/>
          <w:color w:val="FF0000"/>
          <w:sz w:val="36"/>
          <w:szCs w:val="36"/>
        </w:rPr>
        <w:t>关于20</w:t>
      </w:r>
      <w:r>
        <w:rPr>
          <w:rFonts w:hint="eastAsia" w:ascii="黑体" w:eastAsia="黑体"/>
          <w:b/>
          <w:color w:val="FF0000"/>
          <w:sz w:val="36"/>
          <w:szCs w:val="36"/>
        </w:rPr>
        <w:t>22</w:t>
      </w:r>
      <w:r>
        <w:rPr>
          <w:rFonts w:ascii="黑体" w:eastAsia="黑体"/>
          <w:b/>
          <w:color w:val="FF0000"/>
          <w:sz w:val="36"/>
          <w:szCs w:val="36"/>
        </w:rPr>
        <w:t>年度开展金融衍生品</w:t>
      </w:r>
      <w:r>
        <w:rPr>
          <w:rFonts w:hint="eastAsia" w:ascii="黑体" w:eastAsia="黑体"/>
          <w:b/>
          <w:color w:val="FF0000"/>
          <w:sz w:val="36"/>
          <w:szCs w:val="36"/>
        </w:rPr>
        <w:t>交易</w:t>
      </w:r>
      <w:r>
        <w:rPr>
          <w:rFonts w:ascii="黑体" w:eastAsia="黑体"/>
          <w:b/>
          <w:color w:val="FF0000"/>
          <w:sz w:val="36"/>
          <w:szCs w:val="36"/>
        </w:rPr>
        <w:t>业务的公告</w:t>
      </w:r>
    </w:p>
    <w:p>
      <w:pPr>
        <w:snapToGrid w:val="0"/>
        <w:spacing w:line="360" w:lineRule="auto"/>
        <w:ind w:firstLine="480"/>
        <w:rPr>
          <w:rFonts w:ascii="宋体" w:hAnsi="宋体"/>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宋体" w:hAnsi="宋体"/>
          <w:sz w:val="24"/>
        </w:rPr>
      </w:pPr>
      <w:r>
        <w:rPr>
          <w:rFonts w:hint="eastAsia" w:ascii="宋体" w:hAnsi="宋体"/>
          <w:sz w:val="24"/>
        </w:rPr>
        <w:t> 本公司董事会及全体董事保证本公告内容不存在任何虚假记载、误导性陈述或者重大遗漏，并对其内容的真实性、准确性和完整性承担个别及连带责任。</w:t>
      </w:r>
    </w:p>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29"/>
        <w:gridCol w:w="333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484" w:type="dxa"/>
            <w:vAlign w:val="center"/>
          </w:tcPr>
          <w:p>
            <w:pPr>
              <w:widowControl/>
              <w:jc w:val="left"/>
              <w:rPr>
                <w:rFonts w:ascii="宋体" w:hAnsi="宋体" w:eastAsia="宋体" w:cs="宋体"/>
                <w:kern w:val="0"/>
                <w:sz w:val="24"/>
                <w:szCs w:val="24"/>
              </w:rPr>
            </w:pPr>
          </w:p>
        </w:tc>
        <w:tc>
          <w:tcPr>
            <w:tcW w:w="3309" w:type="dxa"/>
            <w:tcMar>
              <w:top w:w="45" w:type="dxa"/>
              <w:left w:w="45" w:type="dxa"/>
              <w:bottom w:w="75" w:type="dxa"/>
              <w:right w:w="0" w:type="dxa"/>
            </w:tcMar>
            <w:vAlign w:val="center"/>
          </w:tcPr>
          <w:p>
            <w:pPr>
              <w:widowControl/>
              <w:jc w:val="center"/>
              <w:rPr>
                <w:rFonts w:ascii="宋体" w:hAnsi="宋体" w:eastAsia="宋体" w:cs="宋体"/>
                <w:kern w:val="0"/>
                <w:sz w:val="18"/>
                <w:szCs w:val="18"/>
              </w:rPr>
            </w:pPr>
          </w:p>
        </w:tc>
        <w:tc>
          <w:tcPr>
            <w:tcW w:w="2483" w:type="dxa"/>
            <w:vAlign w:val="center"/>
          </w:tcPr>
          <w:p>
            <w:pPr>
              <w:widowControl/>
              <w:jc w:val="left"/>
              <w:rPr>
                <w:rFonts w:ascii="宋体" w:hAnsi="宋体" w:eastAsia="宋体" w:cs="宋体"/>
                <w:kern w:val="0"/>
                <w:sz w:val="24"/>
                <w:szCs w:val="24"/>
              </w:rPr>
            </w:pPr>
          </w:p>
        </w:tc>
      </w:tr>
    </w:tbl>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上海龙头（集团）股份有限公司（以下简称“公司”）国贸事业部外销业务结算货币主要为美元，因此人民币对美元汇率波动对公司生产经营会产生一定影响。为了规避美元收入的外汇汇率波动风险，有效降低主营业务收入的不确定性，根据《上海证券交易所股票上市规则》、公司章程和公司《金融衍生品业务内部控制制度》等有关法律、法规和制度的规定并结合公司的具体情况，公司第十届董事会第二十二次会议审议通过了《</w:t>
      </w:r>
      <w:r>
        <w:rPr>
          <w:rFonts w:ascii="宋体" w:hAnsi="宋体" w:eastAsia="宋体" w:cs="宋体"/>
          <w:color w:val="252525"/>
          <w:kern w:val="0"/>
          <w:sz w:val="24"/>
          <w:szCs w:val="24"/>
        </w:rPr>
        <w:t>关于</w:t>
      </w:r>
      <w:r>
        <w:rPr>
          <w:rFonts w:hint="eastAsia" w:ascii="宋体" w:hAnsi="宋体" w:eastAsia="宋体" w:cs="宋体"/>
          <w:color w:val="252525"/>
          <w:kern w:val="0"/>
          <w:sz w:val="24"/>
          <w:szCs w:val="24"/>
        </w:rPr>
        <w:t>2022</w:t>
      </w:r>
      <w:r>
        <w:rPr>
          <w:rFonts w:ascii="宋体" w:hAnsi="宋体" w:eastAsia="宋体" w:cs="宋体"/>
          <w:color w:val="252525"/>
          <w:kern w:val="0"/>
          <w:sz w:val="24"/>
          <w:szCs w:val="24"/>
        </w:rPr>
        <w:t>年度开展金融衍生品</w:t>
      </w:r>
      <w:r>
        <w:rPr>
          <w:rFonts w:hint="eastAsia" w:ascii="宋体" w:hAnsi="宋体" w:eastAsia="宋体" w:cs="宋体"/>
          <w:color w:val="252525"/>
          <w:kern w:val="0"/>
          <w:sz w:val="24"/>
          <w:szCs w:val="24"/>
        </w:rPr>
        <w:t>交易</w:t>
      </w:r>
      <w:r>
        <w:rPr>
          <w:rFonts w:ascii="宋体" w:hAnsi="宋体" w:eastAsia="宋体" w:cs="宋体"/>
          <w:color w:val="252525"/>
          <w:kern w:val="0"/>
          <w:sz w:val="24"/>
          <w:szCs w:val="24"/>
        </w:rPr>
        <w:t>业务的</w:t>
      </w:r>
      <w:r>
        <w:rPr>
          <w:rFonts w:hint="eastAsia" w:ascii="宋体" w:hAnsi="宋体" w:eastAsia="宋体" w:cs="宋体"/>
          <w:color w:val="252525"/>
          <w:kern w:val="0"/>
          <w:sz w:val="24"/>
          <w:szCs w:val="24"/>
        </w:rPr>
        <w:t>议案》，具体内容如下：</w:t>
      </w:r>
    </w:p>
    <w:p>
      <w:pPr>
        <w:shd w:val="clear" w:color="auto" w:fill="FFFFFF"/>
        <w:spacing w:line="360" w:lineRule="auto"/>
        <w:ind w:firstLine="482"/>
        <w:rPr>
          <w:rFonts w:ascii="宋体" w:hAnsi="宋体" w:eastAsia="宋体" w:cs="宋体"/>
          <w:b/>
          <w:color w:val="252525"/>
          <w:kern w:val="0"/>
          <w:sz w:val="24"/>
          <w:szCs w:val="24"/>
        </w:rPr>
      </w:pPr>
      <w:r>
        <w:rPr>
          <w:rFonts w:hint="eastAsia" w:ascii="宋体" w:hAnsi="宋体" w:eastAsia="宋体" w:cs="宋体"/>
          <w:b/>
          <w:color w:val="252525"/>
          <w:kern w:val="0"/>
          <w:sz w:val="24"/>
          <w:szCs w:val="24"/>
        </w:rPr>
        <w:t>一、业务品种说明</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1、</w:t>
      </w:r>
      <w:r>
        <w:rPr>
          <w:rFonts w:ascii="宋体" w:hAnsi="宋体" w:eastAsia="宋体" w:cs="宋体"/>
          <w:color w:val="252525"/>
          <w:kern w:val="0"/>
          <w:sz w:val="24"/>
          <w:szCs w:val="24"/>
        </w:rPr>
        <w:t>远期</w:t>
      </w:r>
      <w:r>
        <w:rPr>
          <w:rFonts w:hint="eastAsia" w:ascii="宋体" w:hAnsi="宋体" w:eastAsia="宋体" w:cs="宋体"/>
          <w:color w:val="252525"/>
          <w:kern w:val="0"/>
          <w:sz w:val="24"/>
          <w:szCs w:val="24"/>
        </w:rPr>
        <w:t>结售汇</w:t>
      </w:r>
      <w:r>
        <w:rPr>
          <w:rFonts w:ascii="宋体" w:hAnsi="宋体" w:eastAsia="宋体" w:cs="宋体"/>
          <w:color w:val="252525"/>
          <w:kern w:val="0"/>
          <w:sz w:val="24"/>
          <w:szCs w:val="24"/>
        </w:rPr>
        <w:t>业务</w:t>
      </w:r>
      <w:r>
        <w:rPr>
          <w:rFonts w:hint="eastAsia" w:ascii="宋体" w:hAnsi="宋体" w:eastAsia="宋体" w:cs="宋体"/>
          <w:color w:val="252525"/>
          <w:kern w:val="0"/>
          <w:sz w:val="24"/>
          <w:szCs w:val="24"/>
        </w:rPr>
        <w:t>，</w:t>
      </w:r>
      <w:r>
        <w:rPr>
          <w:rFonts w:ascii="宋体" w:hAnsi="宋体" w:eastAsia="宋体" w:cs="宋体"/>
          <w:color w:val="252525"/>
          <w:kern w:val="0"/>
          <w:sz w:val="24"/>
          <w:szCs w:val="24"/>
        </w:rPr>
        <w:t>是</w:t>
      </w:r>
      <w:r>
        <w:rPr>
          <w:rFonts w:hint="eastAsia" w:ascii="宋体" w:hAnsi="宋体" w:eastAsia="宋体" w:cs="宋体"/>
          <w:color w:val="252525"/>
          <w:kern w:val="0"/>
          <w:sz w:val="24"/>
          <w:szCs w:val="24"/>
        </w:rPr>
        <w:t>通过外汇指定</w:t>
      </w:r>
      <w:r>
        <w:rPr>
          <w:rFonts w:ascii="宋体" w:hAnsi="宋体" w:eastAsia="宋体" w:cs="宋体"/>
          <w:color w:val="252525"/>
          <w:kern w:val="0"/>
          <w:sz w:val="24"/>
          <w:szCs w:val="24"/>
        </w:rPr>
        <w:t>银行</w:t>
      </w:r>
      <w:r>
        <w:rPr>
          <w:rFonts w:hint="eastAsia" w:ascii="宋体" w:hAnsi="宋体" w:eastAsia="宋体" w:cs="宋体"/>
          <w:color w:val="252525"/>
          <w:kern w:val="0"/>
          <w:sz w:val="24"/>
          <w:szCs w:val="24"/>
        </w:rPr>
        <w:t>与客户协商</w:t>
      </w:r>
      <w:r>
        <w:rPr>
          <w:rFonts w:ascii="宋体" w:hAnsi="宋体" w:eastAsia="宋体" w:cs="宋体"/>
          <w:color w:val="252525"/>
          <w:kern w:val="0"/>
          <w:sz w:val="24"/>
          <w:szCs w:val="24"/>
        </w:rPr>
        <w:t>签订远期结售汇</w:t>
      </w:r>
      <w:r>
        <w:rPr>
          <w:rFonts w:hint="eastAsia" w:ascii="宋体" w:hAnsi="宋体" w:eastAsia="宋体" w:cs="宋体"/>
          <w:color w:val="252525"/>
          <w:kern w:val="0"/>
          <w:sz w:val="24"/>
          <w:szCs w:val="24"/>
        </w:rPr>
        <w:t>协议</w:t>
      </w:r>
      <w:r>
        <w:rPr>
          <w:rFonts w:ascii="宋体" w:hAnsi="宋体" w:eastAsia="宋体" w:cs="宋体"/>
          <w:color w:val="252525"/>
          <w:kern w:val="0"/>
          <w:sz w:val="24"/>
          <w:szCs w:val="24"/>
        </w:rPr>
        <w:t>，约定</w:t>
      </w:r>
      <w:r>
        <w:rPr>
          <w:rFonts w:hint="eastAsia" w:ascii="宋体" w:hAnsi="宋体" w:eastAsia="宋体" w:cs="宋体"/>
          <w:color w:val="252525"/>
          <w:kern w:val="0"/>
          <w:sz w:val="24"/>
          <w:szCs w:val="24"/>
        </w:rPr>
        <w:t>未</w:t>
      </w:r>
      <w:r>
        <w:rPr>
          <w:rFonts w:ascii="宋体" w:hAnsi="宋体" w:eastAsia="宋体" w:cs="宋体"/>
          <w:color w:val="252525"/>
          <w:kern w:val="0"/>
          <w:sz w:val="24"/>
          <w:szCs w:val="24"/>
        </w:rPr>
        <w:t>来办理结汇或售汇的外汇币种、金额、汇率和期限，到期</w:t>
      </w:r>
      <w:r>
        <w:rPr>
          <w:rFonts w:hint="eastAsia" w:ascii="宋体" w:hAnsi="宋体" w:eastAsia="宋体" w:cs="宋体"/>
          <w:color w:val="252525"/>
          <w:kern w:val="0"/>
          <w:sz w:val="24"/>
          <w:szCs w:val="24"/>
        </w:rPr>
        <w:t>即</w:t>
      </w:r>
      <w:r>
        <w:rPr>
          <w:rFonts w:ascii="宋体" w:hAnsi="宋体" w:eastAsia="宋体" w:cs="宋体"/>
          <w:color w:val="252525"/>
          <w:kern w:val="0"/>
          <w:sz w:val="24"/>
          <w:szCs w:val="24"/>
        </w:rPr>
        <w:t>按照该</w:t>
      </w:r>
      <w:r>
        <w:rPr>
          <w:rFonts w:hint="eastAsia" w:ascii="宋体" w:hAnsi="宋体" w:eastAsia="宋体" w:cs="宋体"/>
          <w:color w:val="252525"/>
          <w:kern w:val="0"/>
          <w:sz w:val="24"/>
          <w:szCs w:val="24"/>
        </w:rPr>
        <w:t>协议的</w:t>
      </w:r>
      <w:r>
        <w:rPr>
          <w:rFonts w:ascii="宋体" w:hAnsi="宋体" w:eastAsia="宋体" w:cs="宋体"/>
          <w:color w:val="252525"/>
          <w:kern w:val="0"/>
          <w:sz w:val="24"/>
          <w:szCs w:val="24"/>
        </w:rPr>
        <w:t>约定办理结售汇业务。</w:t>
      </w:r>
      <w:r>
        <w:rPr>
          <w:rFonts w:hint="eastAsia" w:ascii="宋体" w:hAnsi="宋体" w:eastAsia="宋体" w:cs="宋体"/>
          <w:color w:val="252525"/>
          <w:kern w:val="0"/>
          <w:sz w:val="24"/>
          <w:szCs w:val="24"/>
        </w:rPr>
        <w:t>由于远期结售汇把汇率的时间结构从将来转移到当前，事先约定了将来某一日向银行办理结汇或售汇业务的汇率，所以这种方法能够消除外汇风险。</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2、远期结售汇套期保值业务，是指公司与银行签订远期结售汇协议，</w:t>
      </w:r>
      <w:r>
        <w:rPr>
          <w:rFonts w:ascii="宋体" w:hAnsi="宋体" w:eastAsia="宋体" w:cs="宋体"/>
          <w:color w:val="252525"/>
          <w:kern w:val="0"/>
          <w:sz w:val="24"/>
          <w:szCs w:val="24"/>
        </w:rPr>
        <w:t>约定两笔</w:t>
      </w:r>
      <w:r>
        <w:rPr>
          <w:rFonts w:hint="eastAsia" w:ascii="宋体" w:hAnsi="宋体" w:eastAsia="宋体" w:cs="宋体"/>
          <w:color w:val="252525"/>
          <w:kern w:val="0"/>
          <w:sz w:val="24"/>
          <w:szCs w:val="24"/>
        </w:rPr>
        <w:t>币种、</w:t>
      </w:r>
      <w:r>
        <w:rPr>
          <w:rFonts w:ascii="宋体" w:hAnsi="宋体" w:eastAsia="宋体" w:cs="宋体"/>
          <w:color w:val="252525"/>
          <w:kern w:val="0"/>
          <w:sz w:val="24"/>
          <w:szCs w:val="24"/>
        </w:rPr>
        <w:t>金额</w:t>
      </w:r>
      <w:r>
        <w:rPr>
          <w:rFonts w:hint="eastAsia" w:ascii="宋体" w:hAnsi="宋体" w:eastAsia="宋体" w:cs="宋体"/>
          <w:color w:val="252525"/>
          <w:kern w:val="0"/>
          <w:sz w:val="24"/>
          <w:szCs w:val="24"/>
        </w:rPr>
        <w:t>、期限</w:t>
      </w:r>
      <w:r>
        <w:rPr>
          <w:rFonts w:ascii="宋体" w:hAnsi="宋体" w:eastAsia="宋体" w:cs="宋体"/>
          <w:color w:val="252525"/>
          <w:kern w:val="0"/>
          <w:sz w:val="24"/>
          <w:szCs w:val="24"/>
        </w:rPr>
        <w:t>一致</w:t>
      </w:r>
      <w:r>
        <w:rPr>
          <w:rFonts w:hint="eastAsia" w:ascii="宋体" w:hAnsi="宋体" w:eastAsia="宋体" w:cs="宋体"/>
          <w:color w:val="252525"/>
          <w:kern w:val="0"/>
          <w:sz w:val="24"/>
          <w:szCs w:val="24"/>
        </w:rPr>
        <w:t>，</w:t>
      </w:r>
      <w:r>
        <w:rPr>
          <w:rFonts w:ascii="宋体" w:hAnsi="宋体" w:eastAsia="宋体" w:cs="宋体"/>
          <w:color w:val="252525"/>
          <w:kern w:val="0"/>
          <w:sz w:val="24"/>
          <w:szCs w:val="24"/>
        </w:rPr>
        <w:t>买卖方向相反的人民币对外币的买卖交易</w:t>
      </w:r>
      <w:r>
        <w:rPr>
          <w:rFonts w:hint="eastAsia" w:ascii="宋体" w:hAnsi="宋体" w:eastAsia="宋体" w:cs="宋体"/>
          <w:color w:val="252525"/>
          <w:kern w:val="0"/>
          <w:sz w:val="24"/>
          <w:szCs w:val="24"/>
        </w:rPr>
        <w:t>，到期时按照合同约定汇率办理结汇或售汇业务。根据公司日常业务往来，拟选择有合法经营资质的银行进行远期结售汇套期保值业务。</w:t>
      </w:r>
    </w:p>
    <w:p>
      <w:pPr>
        <w:shd w:val="clear" w:color="auto" w:fill="FFFFFF"/>
        <w:spacing w:line="360" w:lineRule="auto"/>
        <w:ind w:firstLine="482"/>
        <w:rPr>
          <w:rFonts w:ascii="宋体" w:hAnsi="宋体" w:eastAsia="宋体" w:cs="宋体"/>
          <w:b/>
          <w:color w:val="252525"/>
          <w:kern w:val="0"/>
          <w:sz w:val="24"/>
          <w:szCs w:val="24"/>
        </w:rPr>
      </w:pPr>
      <w:r>
        <w:rPr>
          <w:rFonts w:hint="eastAsia" w:ascii="宋体" w:hAnsi="宋体" w:eastAsia="宋体" w:cs="宋体"/>
          <w:b/>
          <w:color w:val="252525"/>
          <w:kern w:val="0"/>
          <w:sz w:val="24"/>
          <w:szCs w:val="24"/>
        </w:rPr>
        <w:t>二、货币种类和业务规模</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1、交易币种。只限于公司生产经营所使用的主要结算货币—美元。</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2、资金投入。根据公司实际业务需要，用于上述外汇业务的交易金额不超过公司国际业务的收付外币金额。计划单笔交易金额不超过500万美元，年累计签约金额不超过2亿美元，投入资金为公司自有资金。</w:t>
      </w:r>
    </w:p>
    <w:p>
      <w:pPr>
        <w:shd w:val="clear" w:color="auto" w:fill="FFFFFF"/>
        <w:spacing w:line="360" w:lineRule="auto"/>
        <w:ind w:firstLine="482"/>
        <w:rPr>
          <w:rFonts w:ascii="宋体" w:hAnsi="宋体" w:eastAsia="宋体" w:cs="宋体"/>
          <w:b/>
          <w:color w:val="252525"/>
          <w:kern w:val="0"/>
          <w:sz w:val="24"/>
          <w:szCs w:val="24"/>
        </w:rPr>
      </w:pPr>
      <w:r>
        <w:rPr>
          <w:rFonts w:hint="eastAsia" w:ascii="宋体" w:hAnsi="宋体" w:eastAsia="宋体" w:cs="宋体"/>
          <w:b/>
          <w:color w:val="252525"/>
          <w:kern w:val="0"/>
          <w:sz w:val="24"/>
          <w:szCs w:val="24"/>
        </w:rPr>
        <w:t>三、对公司的影响及潜在风险</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远期结售汇等业务，可以在一定程度上规避汇率波动对公司的影响，使公司专注于生产经营，在汇率发生大幅波动时，公司仍保持一个稳定的利润水平。同时，远期结售汇等业务操作也会存在汇率波动风险，在汇率行情变动较大的情况下，远期结售汇等业务的汇率报价可能低于即期市场汇率，造成汇兑损失。</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20</w:t>
      </w:r>
      <w:r>
        <w:rPr>
          <w:rFonts w:ascii="宋体" w:hAnsi="宋体" w:eastAsia="宋体" w:cs="宋体"/>
          <w:color w:val="252525"/>
          <w:kern w:val="0"/>
          <w:sz w:val="24"/>
          <w:szCs w:val="24"/>
        </w:rPr>
        <w:t>21</w:t>
      </w:r>
      <w:r>
        <w:rPr>
          <w:rFonts w:hint="eastAsia" w:ascii="宋体" w:hAnsi="宋体" w:eastAsia="宋体" w:cs="宋体"/>
          <w:color w:val="252525"/>
          <w:kern w:val="0"/>
          <w:sz w:val="24"/>
          <w:szCs w:val="24"/>
        </w:rPr>
        <w:t>年受中美贸易摩擦影响，汇率市场波动较大，为及时锁定业务利润，公司开展远期结汇业务，有效规避了汇率波动风险。</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操作远期结售汇套期保值业务，及早锁定未来美元入账或支付的汇率，将能有效规避汇率波动风险。一旦市场不存在盈利空间，公司将停止开展远期结汇套期保值业务。</w:t>
      </w:r>
    </w:p>
    <w:p>
      <w:pPr>
        <w:shd w:val="clear" w:color="auto" w:fill="FFFFFF"/>
        <w:spacing w:line="360" w:lineRule="auto"/>
        <w:ind w:firstLine="482"/>
        <w:rPr>
          <w:rFonts w:ascii="宋体" w:hAnsi="宋体" w:eastAsia="宋体" w:cs="宋体"/>
          <w:b/>
          <w:color w:val="252525"/>
          <w:kern w:val="0"/>
          <w:sz w:val="24"/>
          <w:szCs w:val="24"/>
        </w:rPr>
      </w:pPr>
      <w:r>
        <w:rPr>
          <w:rFonts w:ascii="宋体" w:hAnsi="宋体" w:eastAsia="宋体" w:cs="宋体"/>
          <w:color w:val="252525"/>
          <w:kern w:val="0"/>
          <w:sz w:val="24"/>
          <w:szCs w:val="24"/>
        </w:rPr>
        <w:t xml:space="preserve"> </w:t>
      </w:r>
      <w:r>
        <w:rPr>
          <w:rFonts w:hint="eastAsia" w:ascii="宋体" w:hAnsi="宋体" w:eastAsia="宋体" w:cs="宋体"/>
          <w:b/>
          <w:color w:val="252525"/>
          <w:kern w:val="0"/>
          <w:sz w:val="24"/>
          <w:szCs w:val="24"/>
        </w:rPr>
        <w:t>四、公司采取的风险控制措施</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1、</w:t>
      </w:r>
      <w:r>
        <w:rPr>
          <w:rFonts w:ascii="宋体" w:hAnsi="宋体" w:eastAsia="宋体" w:cs="宋体"/>
          <w:color w:val="252525"/>
          <w:kern w:val="0"/>
          <w:sz w:val="24"/>
          <w:szCs w:val="24"/>
        </w:rPr>
        <w:t>为防止远期结</w:t>
      </w:r>
      <w:r>
        <w:rPr>
          <w:rFonts w:hint="eastAsia" w:ascii="宋体" w:hAnsi="宋体" w:eastAsia="宋体" w:cs="宋体"/>
          <w:color w:val="252525"/>
          <w:kern w:val="0"/>
          <w:sz w:val="24"/>
          <w:szCs w:val="24"/>
        </w:rPr>
        <w:t>售</w:t>
      </w:r>
      <w:r>
        <w:rPr>
          <w:rFonts w:ascii="宋体" w:hAnsi="宋体" w:eastAsia="宋体" w:cs="宋体"/>
          <w:color w:val="252525"/>
          <w:kern w:val="0"/>
          <w:sz w:val="24"/>
          <w:szCs w:val="24"/>
        </w:rPr>
        <w:t>汇延期交割，公司</w:t>
      </w:r>
      <w:r>
        <w:rPr>
          <w:rFonts w:hint="eastAsia" w:ascii="宋体" w:hAnsi="宋体" w:eastAsia="宋体" w:cs="宋体"/>
          <w:color w:val="252525"/>
          <w:kern w:val="0"/>
          <w:sz w:val="24"/>
          <w:szCs w:val="24"/>
        </w:rPr>
        <w:t>加强</w:t>
      </w:r>
      <w:r>
        <w:rPr>
          <w:rFonts w:ascii="宋体" w:hAnsi="宋体" w:eastAsia="宋体" w:cs="宋体"/>
          <w:color w:val="252525"/>
          <w:kern w:val="0"/>
          <w:sz w:val="24"/>
          <w:szCs w:val="24"/>
        </w:rPr>
        <w:t>应收账款的管理，积极催收应收账款，避免出现应收账款逾期的现象。</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2、公司建立了相关内控管理制度，对交易审批权限、内部审核流程、决策程序、信息隔离措施、内部风险报告制度及风险处理程序、信息披露等做出明确规定。</w:t>
      </w:r>
    </w:p>
    <w:p>
      <w:pPr>
        <w:shd w:val="clear" w:color="auto" w:fill="FFFFFF"/>
        <w:spacing w:line="360" w:lineRule="auto"/>
        <w:ind w:firstLine="482"/>
        <w:rPr>
          <w:rFonts w:ascii="宋体" w:hAnsi="宋体" w:eastAsia="宋体" w:cs="宋体"/>
          <w:color w:val="252525"/>
          <w:kern w:val="0"/>
          <w:sz w:val="24"/>
          <w:szCs w:val="24"/>
        </w:rPr>
      </w:pPr>
      <w:r>
        <w:rPr>
          <w:rFonts w:ascii="宋体" w:hAnsi="宋体" w:eastAsia="宋体" w:cs="宋体"/>
          <w:color w:val="252525"/>
          <w:kern w:val="0"/>
          <w:sz w:val="24"/>
          <w:szCs w:val="24"/>
        </w:rPr>
        <w:t>3</w:t>
      </w:r>
      <w:r>
        <w:rPr>
          <w:rFonts w:hint="eastAsia" w:ascii="宋体" w:hAnsi="宋体" w:eastAsia="宋体" w:cs="宋体"/>
          <w:color w:val="252525"/>
          <w:kern w:val="0"/>
          <w:sz w:val="24"/>
          <w:szCs w:val="24"/>
        </w:rPr>
        <w:t>、鉴于公司开展以上业务的目的</w:t>
      </w:r>
      <w:r>
        <w:rPr>
          <w:rFonts w:ascii="宋体" w:hAnsi="宋体" w:eastAsia="宋体" w:cs="宋体"/>
          <w:color w:val="252525"/>
          <w:kern w:val="0"/>
          <w:sz w:val="24"/>
          <w:szCs w:val="24"/>
        </w:rPr>
        <w:t>,</w:t>
      </w:r>
      <w:r>
        <w:rPr>
          <w:rFonts w:hint="eastAsia" w:ascii="宋体" w:hAnsi="宋体" w:eastAsia="宋体" w:cs="宋体"/>
          <w:color w:val="252525"/>
          <w:kern w:val="0"/>
          <w:sz w:val="24"/>
          <w:szCs w:val="24"/>
        </w:rPr>
        <w:t>目前所选取的均为低风险金融产品</w:t>
      </w:r>
      <w:r>
        <w:rPr>
          <w:rFonts w:ascii="宋体" w:hAnsi="宋体" w:eastAsia="宋体" w:cs="宋体"/>
          <w:color w:val="252525"/>
          <w:kern w:val="0"/>
          <w:sz w:val="24"/>
          <w:szCs w:val="24"/>
        </w:rPr>
        <w:t>,</w:t>
      </w:r>
      <w:r>
        <w:rPr>
          <w:rFonts w:hint="eastAsia" w:ascii="宋体" w:hAnsi="宋体" w:eastAsia="宋体" w:cs="宋体"/>
          <w:color w:val="252525"/>
          <w:kern w:val="0"/>
          <w:sz w:val="24"/>
          <w:szCs w:val="24"/>
        </w:rPr>
        <w:t>公司上述业务只允许与具有合法经营资格的银行进行交易。</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4、仅以外贸业务开展中锁定业务风险敞口为目标，不从事任何形式或实质上的投资业务。</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5、具体业务操作中，由专门团队独立操作，并形成业务定期汇报机制。</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6、</w:t>
      </w:r>
      <w:r>
        <w:rPr>
          <w:rFonts w:ascii="宋体" w:hAnsi="宋体" w:eastAsia="宋体" w:cs="宋体"/>
          <w:color w:val="252525"/>
          <w:kern w:val="0"/>
          <w:sz w:val="24"/>
          <w:szCs w:val="24"/>
        </w:rPr>
        <w:t>公司内部审计部门、董事会审计委员会将会定期、不定期对实际交易合约签署及执行情况进行核查。</w:t>
      </w:r>
    </w:p>
    <w:p>
      <w:pPr>
        <w:shd w:val="clear" w:color="auto" w:fill="FFFFFF"/>
        <w:spacing w:line="360" w:lineRule="auto"/>
        <w:ind w:firstLine="482"/>
        <w:rPr>
          <w:rFonts w:ascii="宋体" w:hAnsi="宋体" w:eastAsia="宋体" w:cs="宋体"/>
          <w:b/>
          <w:color w:val="252525"/>
          <w:kern w:val="0"/>
          <w:sz w:val="24"/>
          <w:szCs w:val="24"/>
        </w:rPr>
      </w:pPr>
      <w:r>
        <w:rPr>
          <w:rFonts w:hint="eastAsia" w:ascii="宋体" w:hAnsi="宋体" w:eastAsia="宋体" w:cs="宋体"/>
          <w:b/>
          <w:color w:val="252525"/>
          <w:kern w:val="0"/>
          <w:sz w:val="24"/>
          <w:szCs w:val="24"/>
        </w:rPr>
        <w:t>五、独立董事意见</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独立董事意见如下：公司的衍生品交易业务指公司从事的远期结售汇业务和远期结售汇套期保值业务。根据《上海证券交易所股票上市规则》、公司章程和公司《金融衍生品业务内部控制制度》等有关法律、法规和制度的规定并结合公司的具体情况，公司2022年度金融衍生品交易业务的总金额不超过2亿美元，符合有关制度和法规的要求，符合公司生产经营的实际需要，有利于公司的长远发展，符合公司股东的利益。</w:t>
      </w:r>
    </w:p>
    <w:p>
      <w:pPr>
        <w:shd w:val="clear" w:color="auto" w:fill="FFFFFF"/>
        <w:spacing w:line="360" w:lineRule="auto"/>
        <w:ind w:firstLine="482"/>
        <w:rPr>
          <w:rFonts w:ascii="宋体" w:hAnsi="宋体" w:eastAsia="宋体" w:cs="宋体"/>
          <w:b/>
          <w:color w:val="252525"/>
          <w:kern w:val="0"/>
          <w:sz w:val="24"/>
          <w:szCs w:val="24"/>
        </w:rPr>
      </w:pPr>
      <w:r>
        <w:rPr>
          <w:rFonts w:hint="eastAsia" w:ascii="宋体" w:hAnsi="宋体" w:eastAsia="宋体" w:cs="宋体"/>
          <w:b/>
          <w:color w:val="252525"/>
          <w:kern w:val="0"/>
          <w:sz w:val="24"/>
          <w:szCs w:val="24"/>
        </w:rPr>
        <w:t>六、备查文件：</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1、《第十届董事会第二十二次会议决议》；</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2、 《独立董事关于公司第十届董事会第二十二次会议相关事项的独立意见》；</w:t>
      </w:r>
    </w:p>
    <w:p>
      <w:pPr>
        <w:shd w:val="clear" w:color="auto" w:fill="FFFFFF"/>
        <w:spacing w:line="360" w:lineRule="auto"/>
        <w:ind w:firstLine="482"/>
        <w:rPr>
          <w:rFonts w:ascii="宋体" w:hAnsi="宋体" w:eastAsia="宋体" w:cs="宋体"/>
          <w:color w:val="252525"/>
          <w:kern w:val="0"/>
          <w:sz w:val="24"/>
          <w:szCs w:val="24"/>
        </w:rPr>
      </w:pPr>
      <w:r>
        <w:rPr>
          <w:rFonts w:hint="eastAsia" w:ascii="宋体" w:hAnsi="宋体" w:eastAsia="宋体" w:cs="宋体"/>
          <w:color w:val="252525"/>
          <w:kern w:val="0"/>
          <w:sz w:val="24"/>
          <w:szCs w:val="24"/>
        </w:rPr>
        <w:t>特此公告。</w:t>
      </w:r>
    </w:p>
    <w:p>
      <w:pPr>
        <w:shd w:val="clear" w:color="auto" w:fill="FFFFFF"/>
        <w:spacing w:line="360" w:lineRule="auto"/>
        <w:ind w:firstLine="482"/>
        <w:jc w:val="right"/>
        <w:rPr>
          <w:rFonts w:ascii="宋体" w:hAnsi="宋体" w:eastAsia="宋体" w:cs="宋体"/>
          <w:color w:val="252525"/>
          <w:kern w:val="0"/>
          <w:sz w:val="24"/>
          <w:szCs w:val="24"/>
        </w:rPr>
      </w:pPr>
      <w:r>
        <w:rPr>
          <w:rFonts w:hint="eastAsia" w:ascii="宋体" w:hAnsi="宋体" w:eastAsia="宋体" w:cs="宋体"/>
          <w:color w:val="252525"/>
          <w:kern w:val="0"/>
          <w:sz w:val="24"/>
          <w:szCs w:val="24"/>
        </w:rPr>
        <w:t>上海龙头（集团）股份有限公司</w:t>
      </w:r>
    </w:p>
    <w:p>
      <w:pPr>
        <w:shd w:val="clear" w:color="auto" w:fill="FFFFFF"/>
        <w:spacing w:line="360" w:lineRule="auto"/>
        <w:ind w:firstLine="482"/>
        <w:jc w:val="right"/>
        <w:rPr>
          <w:rFonts w:ascii="宋体" w:hAnsi="宋体" w:eastAsia="宋体" w:cs="宋体"/>
          <w:color w:val="252525"/>
          <w:kern w:val="0"/>
          <w:sz w:val="24"/>
          <w:szCs w:val="24"/>
        </w:rPr>
      </w:pPr>
      <w:r>
        <w:rPr>
          <w:rFonts w:hint="eastAsia" w:ascii="宋体" w:hAnsi="宋体" w:eastAsia="宋体" w:cs="宋体"/>
          <w:color w:val="252525"/>
          <w:kern w:val="0"/>
          <w:sz w:val="24"/>
          <w:szCs w:val="24"/>
        </w:rPr>
        <w:t xml:space="preserve">                                                   董事会</w:t>
      </w:r>
    </w:p>
    <w:p>
      <w:pPr>
        <w:shd w:val="clear" w:color="auto" w:fill="FFFFFF"/>
        <w:spacing w:line="360" w:lineRule="auto"/>
        <w:ind w:firstLine="482"/>
        <w:jc w:val="right"/>
        <w:rPr>
          <w:rFonts w:ascii="宋体" w:hAnsi="宋体" w:eastAsia="宋体" w:cs="宋体"/>
          <w:color w:val="252525"/>
          <w:kern w:val="0"/>
          <w:sz w:val="24"/>
          <w:szCs w:val="24"/>
        </w:rPr>
      </w:pPr>
      <w:r>
        <w:rPr>
          <w:rFonts w:hint="eastAsia" w:ascii="宋体" w:hAnsi="宋体" w:eastAsia="宋体" w:cs="宋体"/>
          <w:color w:val="252525"/>
          <w:kern w:val="0"/>
          <w:sz w:val="24"/>
          <w:szCs w:val="24"/>
        </w:rPr>
        <w:t>2022年4月28日</w:t>
      </w:r>
    </w:p>
    <w:p>
      <w:pPr>
        <w:jc w:val="right"/>
        <w:rPr>
          <w:rFonts w:ascii="宋体" w:hAnsi="宋体" w:eastAsia="宋体" w:cs="宋体"/>
          <w:color w:val="252525"/>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link w:val="14"/>
    <w:qFormat/>
    <w:uiPriority w:val="9"/>
    <w:pPr>
      <w:widowControl/>
      <w:spacing w:before="150"/>
      <w:jc w:val="center"/>
      <w:outlineLvl w:val="0"/>
    </w:pPr>
    <w:rPr>
      <w:rFonts w:ascii="宋体" w:hAnsi="宋体" w:eastAsia="宋体" w:cs="宋体"/>
      <w:b/>
      <w:bCs/>
      <w:kern w:val="36"/>
      <w:sz w:val="24"/>
      <w:szCs w:val="24"/>
    </w:rPr>
  </w:style>
  <w:style w:type="character" w:default="1" w:styleId="8">
    <w:name w:val="Default Paragraph Font"/>
    <w:semiHidden/>
    <w:unhideWhenUsed/>
    <w:uiPriority w:val="1"/>
  </w:style>
  <w:style w:type="paragraph" w:styleId="3">
    <w:name w:val="Document Map"/>
    <w:basedOn w:val="1"/>
    <w:link w:val="16"/>
    <w:semiHidden/>
    <w:unhideWhenUsed/>
    <w:uiPriority w:val="99"/>
    <w:rPr>
      <w:rFonts w:ascii="宋体" w:eastAsia="宋体"/>
      <w:sz w:val="18"/>
      <w:szCs w:val="18"/>
    </w:rPr>
  </w:style>
  <w:style w:type="paragraph" w:styleId="4">
    <w:name w:val="Balloon Text"/>
    <w:basedOn w:val="1"/>
    <w:link w:val="15"/>
    <w:semiHidden/>
    <w:unhideWhenUsed/>
    <w:uiPriority w:val="99"/>
    <w:rPr>
      <w:sz w:val="18"/>
      <w:szCs w:val="18"/>
    </w:r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uiPriority w:val="99"/>
    <w:rPr>
      <w:color w:val="864654"/>
      <w:u w:val="single"/>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rPr>
  </w:style>
  <w:style w:type="paragraph" w:customStyle="1" w:styleId="11">
    <w:name w:val="List Paragraph"/>
    <w:basedOn w:val="1"/>
    <w:qFormat/>
    <w:uiPriority w:val="34"/>
    <w:pPr>
      <w:ind w:firstLine="420" w:firstLineChars="200"/>
    </w:pPr>
  </w:style>
  <w:style w:type="character" w:customStyle="1" w:styleId="12">
    <w:name w:val="页眉 Char"/>
    <w:basedOn w:val="8"/>
    <w:link w:val="6"/>
    <w:semiHidden/>
    <w:uiPriority w:val="99"/>
    <w:rPr>
      <w:sz w:val="18"/>
      <w:szCs w:val="18"/>
    </w:rPr>
  </w:style>
  <w:style w:type="character" w:customStyle="1" w:styleId="13">
    <w:name w:val="页脚 Char"/>
    <w:basedOn w:val="8"/>
    <w:link w:val="5"/>
    <w:semiHidden/>
    <w:uiPriority w:val="99"/>
    <w:rPr>
      <w:sz w:val="18"/>
      <w:szCs w:val="18"/>
    </w:rPr>
  </w:style>
  <w:style w:type="character" w:customStyle="1" w:styleId="14">
    <w:name w:val="标题 1 Char"/>
    <w:basedOn w:val="8"/>
    <w:link w:val="2"/>
    <w:uiPriority w:val="9"/>
    <w:rPr>
      <w:rFonts w:ascii="宋体" w:hAnsi="宋体" w:eastAsia="宋体" w:cs="宋体"/>
      <w:b/>
      <w:bCs/>
      <w:kern w:val="36"/>
      <w:sz w:val="24"/>
      <w:szCs w:val="24"/>
    </w:rPr>
  </w:style>
  <w:style w:type="character" w:customStyle="1" w:styleId="15">
    <w:name w:val="批注框文本 Char"/>
    <w:basedOn w:val="8"/>
    <w:link w:val="4"/>
    <w:semiHidden/>
    <w:uiPriority w:val="99"/>
    <w:rPr>
      <w:sz w:val="18"/>
      <w:szCs w:val="18"/>
    </w:rPr>
  </w:style>
  <w:style w:type="character" w:customStyle="1" w:styleId="16">
    <w:name w:val="文档结构图 Char"/>
    <w:basedOn w:val="8"/>
    <w:link w:val="3"/>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265</Words>
  <Characters>1512</Characters>
  <Lines>12</Lines>
  <Paragraphs>3</Paragraphs>
  <TotalTime>0</TotalTime>
  <ScaleCrop>false</ScaleCrop>
  <LinksUpToDate>false</LinksUpToDate>
  <CharactersWithSpaces>0</CharactersWithSpaces>
  <Application>WPS Office 个人版_9.1.0.4648_{F1E327BC-269C-435d-A152-05C5408002CA}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2017-03-30T02:06:00Z</dcterms:created>
  <dc:creator>何徐琳</dc:creator>
  <cp:lastModifiedBy>hxl</cp:lastModifiedBy>
  <dcterms:modified xsi:type="dcterms:W3CDTF">2022-04-27T12:17:49Z</dcterms:modified>
  <dc:title>证券代码：600630            股票简称：龙头股份            编号：临2022-010</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