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07" w:rsidRPr="00291D8C" w:rsidRDefault="00426707" w:rsidP="00426707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>
        <w:rPr>
          <w:rFonts w:hint="eastAsia"/>
          <w:b/>
        </w:rPr>
        <w:t>编号：临</w:t>
      </w:r>
      <w:r w:rsidRPr="00291D8C">
        <w:rPr>
          <w:rFonts w:hint="eastAsia"/>
          <w:b/>
        </w:rPr>
        <w:t>201</w:t>
      </w:r>
      <w:r w:rsidR="00664FCC">
        <w:rPr>
          <w:rFonts w:hint="eastAsia"/>
          <w:b/>
        </w:rPr>
        <w:t>9</w:t>
      </w:r>
      <w:r w:rsidRPr="00291D8C">
        <w:rPr>
          <w:rFonts w:hint="eastAsia"/>
          <w:b/>
        </w:rPr>
        <w:t>-00</w:t>
      </w:r>
      <w:r w:rsidR="00664FCC">
        <w:rPr>
          <w:rFonts w:hint="eastAsia"/>
          <w:b/>
        </w:rPr>
        <w:t>9</w:t>
      </w:r>
    </w:p>
    <w:p w:rsidR="00426707" w:rsidRPr="00FE55EE" w:rsidRDefault="00426707" w:rsidP="00426707">
      <w:pPr>
        <w:jc w:val="center"/>
        <w:rPr>
          <w:rFonts w:ascii="黑体" w:eastAsia="黑体"/>
          <w:b/>
          <w:color w:val="FF0000"/>
          <w:sz w:val="36"/>
          <w:szCs w:val="36"/>
        </w:rPr>
      </w:pPr>
    </w:p>
    <w:p w:rsidR="00426707" w:rsidRPr="00B73D1D" w:rsidRDefault="00426707" w:rsidP="00426707">
      <w:pPr>
        <w:jc w:val="center"/>
        <w:rPr>
          <w:rFonts w:ascii="黑体" w:eastAsia="黑体"/>
          <w:b/>
          <w:color w:val="FF0000"/>
          <w:sz w:val="36"/>
          <w:szCs w:val="36"/>
        </w:rPr>
      </w:pPr>
      <w:r w:rsidRPr="00B73D1D">
        <w:rPr>
          <w:rFonts w:ascii="黑体" w:eastAsia="黑体" w:hint="eastAsia"/>
          <w:b/>
          <w:color w:val="FF0000"/>
          <w:sz w:val="36"/>
          <w:szCs w:val="36"/>
        </w:rPr>
        <w:t>上海龙头（集团）股份有限公司</w:t>
      </w:r>
    </w:p>
    <w:p w:rsidR="00426707" w:rsidRPr="00426707" w:rsidRDefault="00426707" w:rsidP="00426707">
      <w:pPr>
        <w:widowControl/>
        <w:spacing w:before="150" w:line="360" w:lineRule="atLeast"/>
        <w:jc w:val="center"/>
        <w:outlineLvl w:val="0"/>
        <w:rPr>
          <w:rFonts w:ascii="黑体" w:eastAsia="黑体"/>
          <w:b/>
          <w:color w:val="FF0000"/>
          <w:sz w:val="36"/>
          <w:szCs w:val="36"/>
        </w:rPr>
      </w:pPr>
      <w:r w:rsidRPr="00426707">
        <w:rPr>
          <w:rFonts w:ascii="黑体" w:eastAsia="黑体"/>
          <w:b/>
          <w:color w:val="FF0000"/>
          <w:sz w:val="36"/>
          <w:szCs w:val="36"/>
        </w:rPr>
        <w:t>关于201</w:t>
      </w:r>
      <w:r w:rsidR="00FD773E">
        <w:rPr>
          <w:rFonts w:ascii="黑体" w:eastAsia="黑体" w:hint="eastAsia"/>
          <w:b/>
          <w:color w:val="FF0000"/>
          <w:sz w:val="36"/>
          <w:szCs w:val="36"/>
        </w:rPr>
        <w:t>9</w:t>
      </w:r>
      <w:r w:rsidRPr="00426707">
        <w:rPr>
          <w:rFonts w:ascii="黑体" w:eastAsia="黑体"/>
          <w:b/>
          <w:color w:val="FF0000"/>
          <w:sz w:val="36"/>
          <w:szCs w:val="36"/>
        </w:rPr>
        <w:t>年度开展金融衍生品</w:t>
      </w:r>
      <w:r w:rsidR="004B6427">
        <w:rPr>
          <w:rFonts w:ascii="黑体" w:eastAsia="黑体" w:hint="eastAsia"/>
          <w:b/>
          <w:color w:val="FF0000"/>
          <w:sz w:val="36"/>
          <w:szCs w:val="36"/>
        </w:rPr>
        <w:t>交易</w:t>
      </w:r>
      <w:r w:rsidRPr="00426707">
        <w:rPr>
          <w:rFonts w:ascii="黑体" w:eastAsia="黑体"/>
          <w:b/>
          <w:color w:val="FF0000"/>
          <w:sz w:val="36"/>
          <w:szCs w:val="36"/>
        </w:rPr>
        <w:t>业务的公告</w:t>
      </w:r>
    </w:p>
    <w:p w:rsidR="004B6427" w:rsidRPr="000E27F7" w:rsidRDefault="004B6427" w:rsidP="004B6427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4B6427" w:rsidRPr="002E1FA7" w:rsidRDefault="004B6427" w:rsidP="004B6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9"/>
        <w:gridCol w:w="3339"/>
        <w:gridCol w:w="2528"/>
      </w:tblGrid>
      <w:tr w:rsidR="00426707" w:rsidRPr="00426707" w:rsidTr="00426707">
        <w:trPr>
          <w:tblCellSpacing w:w="15" w:type="dxa"/>
        </w:trPr>
        <w:tc>
          <w:tcPr>
            <w:tcW w:w="1479" w:type="pct"/>
            <w:vAlign w:val="center"/>
            <w:hideMark/>
          </w:tcPr>
          <w:p w:rsidR="00426707" w:rsidRPr="00426707" w:rsidRDefault="00426707" w:rsidP="00426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1" w:type="pct"/>
            <w:tcMar>
              <w:top w:w="45" w:type="dxa"/>
              <w:left w:w="45" w:type="dxa"/>
              <w:bottom w:w="75" w:type="dxa"/>
              <w:right w:w="0" w:type="dxa"/>
            </w:tcMar>
            <w:vAlign w:val="center"/>
            <w:hideMark/>
          </w:tcPr>
          <w:p w:rsidR="00426707" w:rsidRPr="00426707" w:rsidRDefault="00426707" w:rsidP="0042670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9" w:type="pct"/>
            <w:vAlign w:val="center"/>
            <w:hideMark/>
          </w:tcPr>
          <w:p w:rsidR="00426707" w:rsidRPr="00426707" w:rsidRDefault="00426707" w:rsidP="00426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B6427" w:rsidRPr="003B09DB" w:rsidRDefault="004B6427" w:rsidP="003B09DB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上海龙头（集团）股份有限公司（以下简称“公司”）国贸事业部外销业务结算货币主要为美元，因此人民币对美元汇率波动对公司生产经营会产生一定影响。为了规避美元收入的外汇汇率波动风险，有效降低主营业务收入的不确定性，根据《上海证券交易所股票上市规则》、公司章程和公司《</w:t>
      </w:r>
      <w:r w:rsidR="004B5534"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金融衍生品业务内部控制制度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》等有关法律、法规和制度的规定并结合公司的具体情况，公司第</w:t>
      </w:r>
      <w:r w:rsidR="00FE55E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九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届董事会第</w:t>
      </w:r>
      <w:r w:rsidR="001D063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十</w:t>
      </w:r>
      <w:r w:rsid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六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次会议审议通过了《</w:t>
      </w:r>
      <w:r w:rsidR="004B5534" w:rsidRPr="00426707">
        <w:rPr>
          <w:rFonts w:ascii="宋体" w:eastAsia="宋体" w:hAnsi="宋体" w:cs="宋体"/>
          <w:color w:val="252525"/>
          <w:kern w:val="0"/>
          <w:sz w:val="24"/>
          <w:szCs w:val="24"/>
        </w:rPr>
        <w:t>关于201</w:t>
      </w:r>
      <w:r w:rsid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9</w:t>
      </w:r>
      <w:r w:rsidR="004B5534" w:rsidRPr="00426707">
        <w:rPr>
          <w:rFonts w:ascii="宋体" w:eastAsia="宋体" w:hAnsi="宋体" w:cs="宋体"/>
          <w:color w:val="252525"/>
          <w:kern w:val="0"/>
          <w:sz w:val="24"/>
          <w:szCs w:val="24"/>
        </w:rPr>
        <w:t>年度开展金融衍生品</w:t>
      </w:r>
      <w:r w:rsidR="004B5534"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交易</w:t>
      </w:r>
      <w:r w:rsidR="004B5534" w:rsidRPr="00426707">
        <w:rPr>
          <w:rFonts w:ascii="宋体" w:eastAsia="宋体" w:hAnsi="宋体" w:cs="宋体"/>
          <w:color w:val="252525"/>
          <w:kern w:val="0"/>
          <w:sz w:val="24"/>
          <w:szCs w:val="24"/>
        </w:rPr>
        <w:t>业务的</w:t>
      </w:r>
      <w:r w:rsidR="004B5534"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议案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》，具体内容如下：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b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b/>
          <w:color w:val="252525"/>
          <w:kern w:val="0"/>
          <w:sz w:val="24"/>
          <w:szCs w:val="24"/>
        </w:rPr>
        <w:t>一、业务品种说明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1、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远期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结售汇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业务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，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是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通过外汇指定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银行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与客户协商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签订远期结售汇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协议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，约定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未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来办理结汇或售汇的外汇币种、金额、汇率和期限，到期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即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按照该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协议的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约定办理结售汇业务。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由于远期结售汇把汇率的时间结构从将来转移到当前，事先约定了将来某一日向银行办理结汇或售汇业务的汇率，所以这种方法能够消除外汇风险。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 xml:space="preserve"> 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2、远期结售汇套期保值业务，是指公司与银行签订远期结售汇协议，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约定两笔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币种、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金额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、期限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一致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，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买卖方向相反的人民币对外币的买卖交易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，到期时按照合同约定汇率办理结汇或售汇业务。根据公司日常业务往来，拟选择有合法经营资质的银行进行远期结售汇套期保值业务。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b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b/>
          <w:color w:val="252525"/>
          <w:kern w:val="0"/>
          <w:sz w:val="24"/>
          <w:szCs w:val="24"/>
        </w:rPr>
        <w:t>二、货币种类和业务规模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1、交易币种。只限于公司生产经营所使用的主要结算货币—美元。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2、资金投入。根据公司实际业务需要，用于上述外汇业务的交易金额不超过公司国际业务的收付外币金额。计划单笔交易金额不超过500万美元，年累计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lastRenderedPageBreak/>
        <w:t>签约金额不超过3亿美元，投入资金为公司自有资金。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b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b/>
          <w:color w:val="252525"/>
          <w:kern w:val="0"/>
          <w:sz w:val="24"/>
          <w:szCs w:val="24"/>
        </w:rPr>
        <w:t>三、对公司的影响及潜在风险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远期结售汇等业务，可以在一定程度上规避汇率波动对公司的影响，使公司专注于生产经营，在汇率发生大幅波动时，公司仍保持一个稳定的利润水平。同时，远期结售汇等业务操作也会存在汇率波动风险，在汇率行情变动较大的情况下，远期结售汇等业务的汇率报价可能低于即期市场汇率，造成汇兑损失。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2018年汇率市场波动较大，为及时锁定业务利润，公司开展远期结汇业务4,500万美元，平均锁定汇率6.8245，开展远期售汇业务1,092万美元，平均锁定汇率6.5768，有效规避了汇率波动风险。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操作远期结售汇套期保值业务，及早锁定未来美元入账或支付的汇率，将能有效规避汇率波动风险。一旦市场不存在盈利空间，公司将停止开展远期结汇套期保值业务。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 xml:space="preserve"> 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b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b/>
          <w:color w:val="252525"/>
          <w:kern w:val="0"/>
          <w:sz w:val="24"/>
          <w:szCs w:val="24"/>
        </w:rPr>
        <w:t>四、公司采取的风险控制措施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1、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为防止远期结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售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汇延期交割，公司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加强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应收账款的管理，积极催收应收账款，避免出现应收账款逾期的现象。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2、公司建立了相关内控管理制度，对交易审批权限、内部审核流程、决策程序、信息隔离措施、内部风险报告制度及风险处理程序、信息披露等做出明确规定。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 xml:space="preserve"> 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3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、鉴于公司开展以上业务的目的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,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目前所选取的均为低风险金融产品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,</w:t>
      </w: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公司上述业务只允许与具有合法经营资格的银行进行交易。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 xml:space="preserve"> 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4、仅以外贸业务开展中锁定业务风险敞口为目标，不从事任何形式或实质上的投资业务。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 w:hint="eastAsia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5、具体业务操作中，由专门团队独立操作，并形成业务定期汇报机制。</w:t>
      </w:r>
    </w:p>
    <w:p w:rsidR="00FD773E" w:rsidRPr="00FD773E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6、</w:t>
      </w:r>
      <w:r w:rsidRPr="00FD773E">
        <w:rPr>
          <w:rFonts w:ascii="宋体" w:eastAsia="宋体" w:hAnsi="宋体" w:cs="宋体"/>
          <w:color w:val="252525"/>
          <w:kern w:val="0"/>
          <w:sz w:val="24"/>
          <w:szCs w:val="24"/>
        </w:rPr>
        <w:t>公司内部审计部门、董事会审计委员会将会定期、不定期对实际交易合约签署及执行情况进行核查。</w:t>
      </w:r>
    </w:p>
    <w:p w:rsidR="00FD773E" w:rsidRPr="004B6427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b/>
          <w:color w:val="252525"/>
          <w:kern w:val="0"/>
          <w:sz w:val="24"/>
          <w:szCs w:val="24"/>
        </w:rPr>
      </w:pPr>
      <w:r w:rsidRPr="003B09DB">
        <w:rPr>
          <w:rFonts w:ascii="宋体" w:eastAsia="宋体" w:hAnsi="宋体" w:cs="宋体" w:hint="eastAsia"/>
          <w:b/>
          <w:color w:val="252525"/>
          <w:kern w:val="0"/>
          <w:sz w:val="24"/>
          <w:szCs w:val="24"/>
        </w:rPr>
        <w:t>五</w:t>
      </w:r>
      <w:r w:rsidRPr="004B6427">
        <w:rPr>
          <w:rFonts w:ascii="宋体" w:eastAsia="宋体" w:hAnsi="宋体" w:cs="宋体" w:hint="eastAsia"/>
          <w:b/>
          <w:color w:val="252525"/>
          <w:kern w:val="0"/>
          <w:sz w:val="24"/>
          <w:szCs w:val="24"/>
        </w:rPr>
        <w:t>、独立董事意见</w:t>
      </w:r>
    </w:p>
    <w:p w:rsidR="00FD773E" w:rsidRPr="004B6427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独立董事意见如下：公司的衍生品交易业务指公司从事的远期结售汇业务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和远期结售汇套期保值业务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。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根据《上海证券交易所股票上市规则》、公司章程和公司《金融衍生品业务内部控制制度》等有关法律、法规和制度的规定并结合公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lastRenderedPageBreak/>
        <w:t>司的具体情况，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公司201</w:t>
      </w:r>
      <w:r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9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年度金融衍生品交易业务的总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金额不超过3亿美元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，符合有关制度和法规的要求，符合公司生产经营的实际需要，有利于公司的长远发展，符合公司股东的利益。</w:t>
      </w:r>
    </w:p>
    <w:p w:rsidR="00FD773E" w:rsidRPr="00D85B6D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b/>
          <w:color w:val="252525"/>
          <w:kern w:val="0"/>
          <w:sz w:val="24"/>
          <w:szCs w:val="24"/>
        </w:rPr>
      </w:pPr>
      <w:r w:rsidRPr="00D85B6D">
        <w:rPr>
          <w:rFonts w:ascii="宋体" w:eastAsia="宋体" w:hAnsi="宋体" w:cs="宋体" w:hint="eastAsia"/>
          <w:b/>
          <w:color w:val="252525"/>
          <w:kern w:val="0"/>
          <w:sz w:val="24"/>
          <w:szCs w:val="24"/>
        </w:rPr>
        <w:t>六、备查文件：</w:t>
      </w:r>
    </w:p>
    <w:p w:rsidR="00FD773E" w:rsidRPr="004B6427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1、《第</w:t>
      </w:r>
      <w:r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九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届董事会第</w:t>
      </w:r>
      <w:r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十六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次会议决议》；</w:t>
      </w:r>
    </w:p>
    <w:p w:rsidR="00FD773E" w:rsidRPr="004B6427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2、</w:t>
      </w:r>
      <w:r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 xml:space="preserve">  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《独立董事关于公司第</w:t>
      </w:r>
      <w:r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九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届董事会第</w:t>
      </w:r>
      <w:r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十六</w:t>
      </w: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次会议相关事项的独立意见》；</w:t>
      </w:r>
    </w:p>
    <w:p w:rsidR="00FD773E" w:rsidRPr="004B6427" w:rsidRDefault="00FD773E" w:rsidP="00FD773E">
      <w:pPr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4B6427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特此公告。</w:t>
      </w:r>
    </w:p>
    <w:p w:rsidR="00CD5B6E" w:rsidRPr="003B09DB" w:rsidRDefault="00CD5B6E" w:rsidP="00FD773E">
      <w:pPr>
        <w:shd w:val="clear" w:color="auto" w:fill="FFFFFF"/>
        <w:spacing w:line="360" w:lineRule="auto"/>
        <w:ind w:firstLine="482"/>
        <w:jc w:val="right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上海龙头（集团）股份有限公司</w:t>
      </w:r>
    </w:p>
    <w:p w:rsidR="00CD5B6E" w:rsidRPr="003B09DB" w:rsidRDefault="00CD5B6E" w:rsidP="00FD773E">
      <w:pPr>
        <w:shd w:val="clear" w:color="auto" w:fill="FFFFFF"/>
        <w:spacing w:line="360" w:lineRule="auto"/>
        <w:ind w:firstLine="482"/>
        <w:jc w:val="right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 xml:space="preserve">                                                   董事会</w:t>
      </w:r>
    </w:p>
    <w:p w:rsidR="00CD5B6E" w:rsidRPr="003B09DB" w:rsidRDefault="00CD5B6E" w:rsidP="00FD773E">
      <w:pPr>
        <w:shd w:val="clear" w:color="auto" w:fill="FFFFFF"/>
        <w:spacing w:line="360" w:lineRule="auto"/>
        <w:ind w:firstLine="482"/>
        <w:jc w:val="right"/>
        <w:rPr>
          <w:rFonts w:ascii="宋体" w:eastAsia="宋体" w:hAnsi="宋体" w:cs="宋体"/>
          <w:color w:val="252525"/>
          <w:kern w:val="0"/>
          <w:sz w:val="24"/>
          <w:szCs w:val="24"/>
        </w:rPr>
      </w:pP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201</w:t>
      </w:r>
      <w:r w:rsid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9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年</w:t>
      </w:r>
      <w:r w:rsidR="00A133D8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3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月</w:t>
      </w:r>
      <w:r w:rsidR="00FE55E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3</w:t>
      </w:r>
      <w:r w:rsidR="00FD773E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0</w:t>
      </w:r>
      <w:r w:rsidRPr="003B09DB">
        <w:rPr>
          <w:rFonts w:ascii="宋体" w:eastAsia="宋体" w:hAnsi="宋体" w:cs="宋体" w:hint="eastAsia"/>
          <w:color w:val="252525"/>
          <w:kern w:val="0"/>
          <w:sz w:val="24"/>
          <w:szCs w:val="24"/>
        </w:rPr>
        <w:t>日</w:t>
      </w:r>
    </w:p>
    <w:p w:rsidR="00261710" w:rsidRPr="003B09DB" w:rsidRDefault="00261710" w:rsidP="00FD773E">
      <w:pPr>
        <w:jc w:val="right"/>
        <w:rPr>
          <w:rFonts w:ascii="宋体" w:eastAsia="宋体" w:hAnsi="宋体" w:cs="宋体"/>
          <w:color w:val="252525"/>
          <w:kern w:val="0"/>
          <w:szCs w:val="21"/>
        </w:rPr>
      </w:pPr>
    </w:p>
    <w:sectPr w:rsidR="00261710" w:rsidRPr="003B09DB" w:rsidSect="0015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65E" w:rsidRDefault="00F1365E" w:rsidP="00426707">
      <w:r>
        <w:separator/>
      </w:r>
    </w:p>
  </w:endnote>
  <w:endnote w:type="continuationSeparator" w:id="0">
    <w:p w:rsidR="00F1365E" w:rsidRDefault="00F1365E" w:rsidP="0042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65E" w:rsidRDefault="00F1365E" w:rsidP="00426707">
      <w:r>
        <w:separator/>
      </w:r>
    </w:p>
  </w:footnote>
  <w:footnote w:type="continuationSeparator" w:id="0">
    <w:p w:rsidR="00F1365E" w:rsidRDefault="00F1365E" w:rsidP="00426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327E"/>
    <w:multiLevelType w:val="hybridMultilevel"/>
    <w:tmpl w:val="10B66414"/>
    <w:lvl w:ilvl="0" w:tplc="15803DD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744543A3"/>
    <w:multiLevelType w:val="hybridMultilevel"/>
    <w:tmpl w:val="86EEF426"/>
    <w:lvl w:ilvl="0" w:tplc="C63C6D1E">
      <w:start w:val="2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707"/>
    <w:rsid w:val="0003256E"/>
    <w:rsid w:val="00091F6D"/>
    <w:rsid w:val="000A63B6"/>
    <w:rsid w:val="001410B6"/>
    <w:rsid w:val="00150BE7"/>
    <w:rsid w:val="00193971"/>
    <w:rsid w:val="001B5EEB"/>
    <w:rsid w:val="001D063B"/>
    <w:rsid w:val="001F4A84"/>
    <w:rsid w:val="00223805"/>
    <w:rsid w:val="00261710"/>
    <w:rsid w:val="002820B4"/>
    <w:rsid w:val="00291D8C"/>
    <w:rsid w:val="003132D9"/>
    <w:rsid w:val="003953A5"/>
    <w:rsid w:val="003B09DB"/>
    <w:rsid w:val="00426707"/>
    <w:rsid w:val="00455339"/>
    <w:rsid w:val="004B5534"/>
    <w:rsid w:val="004B6427"/>
    <w:rsid w:val="0053706A"/>
    <w:rsid w:val="005530C7"/>
    <w:rsid w:val="00571254"/>
    <w:rsid w:val="00576741"/>
    <w:rsid w:val="005D312F"/>
    <w:rsid w:val="006147D4"/>
    <w:rsid w:val="00664FCC"/>
    <w:rsid w:val="008B3E10"/>
    <w:rsid w:val="008F7714"/>
    <w:rsid w:val="009E1D62"/>
    <w:rsid w:val="00A133D8"/>
    <w:rsid w:val="00CD5B6E"/>
    <w:rsid w:val="00D85B6D"/>
    <w:rsid w:val="00D85D07"/>
    <w:rsid w:val="00D95C5F"/>
    <w:rsid w:val="00D97719"/>
    <w:rsid w:val="00E06F38"/>
    <w:rsid w:val="00E407D3"/>
    <w:rsid w:val="00E535EA"/>
    <w:rsid w:val="00F1365E"/>
    <w:rsid w:val="00FC6022"/>
    <w:rsid w:val="00FD6B4A"/>
    <w:rsid w:val="00FD773E"/>
    <w:rsid w:val="00FE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E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26707"/>
    <w:pPr>
      <w:widowControl/>
      <w:spacing w:before="150"/>
      <w:jc w:val="center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7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70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26707"/>
    <w:rPr>
      <w:rFonts w:ascii="宋体" w:eastAsia="宋体" w:hAnsi="宋体" w:cs="宋体"/>
      <w:b/>
      <w:bCs/>
      <w:kern w:val="36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26707"/>
    <w:rPr>
      <w:color w:val="864654"/>
      <w:u w:val="single"/>
    </w:rPr>
  </w:style>
  <w:style w:type="paragraph" w:styleId="a6">
    <w:name w:val="Normal (Web)"/>
    <w:basedOn w:val="a"/>
    <w:uiPriority w:val="99"/>
    <w:semiHidden/>
    <w:unhideWhenUsed/>
    <w:rsid w:val="00426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267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6707"/>
    <w:rPr>
      <w:sz w:val="18"/>
      <w:szCs w:val="18"/>
    </w:rPr>
  </w:style>
  <w:style w:type="paragraph" w:customStyle="1" w:styleId="Default">
    <w:name w:val="Default"/>
    <w:qFormat/>
    <w:rsid w:val="00571254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71254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22380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22380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623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11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6</cp:revision>
  <dcterms:created xsi:type="dcterms:W3CDTF">2017-03-30T02:06:00Z</dcterms:created>
  <dcterms:modified xsi:type="dcterms:W3CDTF">2019-03-27T07:42:00Z</dcterms:modified>
</cp:coreProperties>
</file>